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bCs/>
          <w:sz w:val="32"/>
          <w:szCs w:val="32"/>
          <w:lang w:eastAsia="ru-RU"/>
        </w:rPr>
      </w:pPr>
      <w:r>
        <w:rPr>
          <w:rFonts w:cs="Arial" w:ascii="Arial" w:hAnsi="Arial"/>
          <w:b/>
          <w:bCs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bCs/>
          <w:sz w:val="32"/>
          <w:szCs w:val="32"/>
          <w:lang w:eastAsia="ru-RU"/>
        </w:rPr>
      </w:pPr>
      <w:r>
        <w:rPr>
          <w:rFonts w:cs="Arial" w:ascii="Arial" w:hAnsi="Arial"/>
          <w:b/>
          <w:bCs/>
          <w:sz w:val="32"/>
          <w:szCs w:val="32"/>
          <w:lang w:eastAsia="ru-RU"/>
        </w:rPr>
      </w:r>
    </w:p>
    <w:p>
      <w:pPr>
        <w:pStyle w:val="NoSpacing"/>
        <w:jc w:val="right"/>
        <w:rPr/>
      </w:pPr>
      <w:r>
        <w:rPr>
          <w:rFonts w:cs="Arial" w:ascii="Arial" w:hAnsi="Arial"/>
          <w:color w:val="000000"/>
          <w:sz w:val="20"/>
          <w:szCs w:val="20"/>
        </w:rPr>
        <w:t xml:space="preserve">Приложение </w:t>
      </w:r>
    </w:p>
    <w:p>
      <w:pPr>
        <w:pStyle w:val="NoSpacing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к постановлению администрации </w:t>
      </w:r>
    </w:p>
    <w:p>
      <w:pPr>
        <w:pStyle w:val="NoSpacing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Заводоуковского городского округа </w:t>
      </w:r>
    </w:p>
    <w:p>
      <w:pPr>
        <w:pStyle w:val="NoSpacing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                                                                                                         </w:t>
      </w:r>
      <w:r>
        <w:rPr>
          <w:rFonts w:cs="Arial" w:ascii="Arial" w:hAnsi="Arial"/>
          <w:color w:val="000000"/>
          <w:sz w:val="20"/>
          <w:szCs w:val="20"/>
        </w:rPr>
        <w:t>от «____»_________ 2023 г. №____</w:t>
      </w:r>
    </w:p>
    <w:p>
      <w:pPr>
        <w:pStyle w:val="NoSpacing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Arial" w:hAnsi="Arial" w:cs="Arial"/>
          <w:b/>
          <w:b/>
          <w:bCs/>
          <w:color w:val="000000"/>
          <w:sz w:val="26"/>
          <w:szCs w:val="26"/>
          <w:lang w:eastAsia="ru-RU"/>
        </w:rPr>
      </w:pPr>
      <w:r>
        <w:rPr>
          <w:rFonts w:cs="Arial" w:ascii="Arial" w:hAnsi="Arial"/>
          <w:b/>
          <w:bCs/>
          <w:color w:val="000000"/>
          <w:sz w:val="26"/>
          <w:szCs w:val="26"/>
          <w:lang w:eastAsia="ru-RU"/>
        </w:rPr>
        <w:t>Методика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Arial" w:hAnsi="Arial" w:cs="Arial"/>
          <w:b/>
          <w:b/>
          <w:bCs/>
          <w:color w:val="000000"/>
          <w:spacing w:val="5"/>
          <w:sz w:val="26"/>
          <w:szCs w:val="26"/>
          <w:lang w:eastAsia="ru-RU"/>
        </w:rPr>
      </w:pPr>
      <w:r>
        <w:rPr>
          <w:rFonts w:cs="Arial" w:ascii="Arial" w:hAnsi="Arial"/>
          <w:b/>
          <w:bCs/>
          <w:color w:val="000000"/>
          <w:sz w:val="26"/>
          <w:szCs w:val="26"/>
          <w:lang w:eastAsia="ru-RU"/>
        </w:rPr>
        <w:t>формирования фонда оплаты труда общеобразовательных организаций Заводоуковского городского округа</w:t>
      </w:r>
    </w:p>
    <w:p>
      <w:pPr>
        <w:pStyle w:val="Normal"/>
        <w:widowControl w:val="false"/>
        <w:tabs>
          <w:tab w:val="left" w:pos="4170" w:leader="none"/>
        </w:tabs>
        <w:spacing w:lineRule="auto" w:line="240" w:before="0" w:after="0"/>
        <w:jc w:val="both"/>
        <w:rPr>
          <w:rFonts w:ascii="Arial" w:hAnsi="Arial" w:cs="Arial"/>
          <w:color w:val="000000"/>
          <w:spacing w:val="5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pacing w:val="5"/>
          <w:sz w:val="26"/>
          <w:szCs w:val="26"/>
          <w:lang w:eastAsia="ru-RU"/>
        </w:rPr>
        <w:tab/>
      </w:r>
    </w:p>
    <w:p>
      <w:pPr>
        <w:pStyle w:val="ListParagraph"/>
        <w:widowControl w:val="false"/>
        <w:numPr>
          <w:ilvl w:val="0"/>
          <w:numId w:val="6"/>
        </w:numPr>
        <w:spacing w:lineRule="auto" w:line="240" w:before="0" w:after="0"/>
        <w:jc w:val="center"/>
        <w:rPr>
          <w:rFonts w:ascii="Arial" w:hAnsi="Arial" w:cs="Arial"/>
          <w:b/>
          <w:b/>
          <w:bCs/>
          <w:color w:val="000000"/>
          <w:sz w:val="26"/>
          <w:szCs w:val="26"/>
          <w:lang w:eastAsia="ru-RU"/>
        </w:rPr>
      </w:pPr>
      <w:bookmarkStart w:id="0" w:name="bookmark0"/>
      <w:bookmarkEnd w:id="0"/>
      <w:r>
        <w:rPr>
          <w:rFonts w:cs="Arial" w:ascii="Arial" w:hAnsi="Arial"/>
          <w:b/>
          <w:bCs/>
          <w:color w:val="000000"/>
          <w:sz w:val="26"/>
          <w:szCs w:val="26"/>
          <w:lang w:eastAsia="ru-RU"/>
        </w:rPr>
        <w:t>Общие положения</w:t>
      </w:r>
    </w:p>
    <w:p>
      <w:pPr>
        <w:pStyle w:val="ListParagraph"/>
        <w:widowControl w:val="false"/>
        <w:spacing w:lineRule="auto" w:line="240" w:before="0" w:after="0"/>
        <w:ind w:left="795" w:hanging="0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 w:themeColor="text1"/>
          <w:sz w:val="26"/>
          <w:szCs w:val="26"/>
          <w:lang w:eastAsia="ru-RU"/>
        </w:rPr>
        <w:t xml:space="preserve">1.1. Настоящая Методика формирования фонда оплаты труда общеобразовательных организаций Заводоуковского городского округа (далее Методика) определяет общие требования к системе оплаты и стимулирования </w:t>
      </w:r>
      <w:r>
        <w:rPr>
          <w:rFonts w:cs="Arial" w:ascii="Arial" w:hAnsi="Arial"/>
          <w:color w:val="000000"/>
          <w:sz w:val="26"/>
          <w:szCs w:val="26"/>
          <w:lang w:eastAsia="ru-RU"/>
        </w:rPr>
        <w:t>труда работников общеобразовательных организаций, реализующих образовательные программы начального общего, основного общего, среднего общего образования в соответствии с федеральными государственными образовательными стандартами общего образования (далее - образовательные организации).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 xml:space="preserve">1.2. Система оплаты труда и стимулирования труда работников образовательных организаций устанавливается коллективными договорами, соглашениями, локальными </w:t>
      </w:r>
      <w:r>
        <w:rPr>
          <w:rFonts w:cs="Arial" w:ascii="Arial" w:hAnsi="Arial"/>
          <w:sz w:val="26"/>
          <w:szCs w:val="26"/>
          <w:lang w:eastAsia="ru-RU"/>
        </w:rPr>
        <w:t>нормативными</w:t>
      </w:r>
      <w:r>
        <w:rPr>
          <w:rFonts w:cs="Arial" w:ascii="Arial" w:hAnsi="Arial"/>
          <w:color w:val="000000"/>
          <w:sz w:val="26"/>
          <w:szCs w:val="26"/>
          <w:lang w:eastAsia="ru-RU"/>
        </w:rPr>
        <w:t xml:space="preserve"> актами в соответствии с федеральными законами и иными нормативными правовыми актами Российской Федерации, законами и иными муниципальными актами Тюменской области, настоящей Методикой и принимаемыми в соответствии с ней муниципальными правовыми актами.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67"/>
        <w:jc w:val="center"/>
        <w:rPr>
          <w:rFonts w:ascii="Arial" w:hAnsi="Arial" w:cs="Arial"/>
          <w:b/>
          <w:b/>
          <w:bCs/>
          <w:color w:val="000000"/>
          <w:sz w:val="26"/>
          <w:szCs w:val="26"/>
          <w:lang w:eastAsia="ru-RU"/>
        </w:rPr>
      </w:pPr>
      <w:bookmarkStart w:id="1" w:name="bookmark1"/>
      <w:r>
        <w:rPr>
          <w:rFonts w:cs="Arial" w:ascii="Arial" w:hAnsi="Arial"/>
          <w:b/>
          <w:bCs/>
          <w:color w:val="000000"/>
          <w:sz w:val="26"/>
          <w:szCs w:val="26"/>
          <w:lang w:eastAsia="ru-RU"/>
        </w:rPr>
        <w:t xml:space="preserve">2. Формирование фонда оплаты труда образовательной </w:t>
      </w:r>
      <w:bookmarkEnd w:id="1"/>
      <w:r>
        <w:rPr>
          <w:rFonts w:cs="Arial" w:ascii="Arial" w:hAnsi="Arial"/>
          <w:b/>
          <w:bCs/>
          <w:color w:val="000000"/>
          <w:sz w:val="26"/>
          <w:szCs w:val="26"/>
          <w:lang w:eastAsia="ru-RU"/>
        </w:rPr>
        <w:t>организации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2.1. Формирование фонда оплаты труда образовательной организации осуществляется в пределах объема бюджетных средств на текущий финансовый год, доведенного до образовательной организации исходя из:</w:t>
      </w:r>
    </w:p>
    <w:p>
      <w:pPr>
        <w:pStyle w:val="Normal"/>
        <w:widowControl w:val="false"/>
        <w:tabs>
          <w:tab w:val="left" w:pos="850" w:leader="none"/>
        </w:tabs>
        <w:spacing w:lineRule="auto" w:line="240" w:before="0" w:after="0"/>
        <w:ind w:firstLine="567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>а) норматива финансового обеспечения государственных гарантий реализации прав на получение общедоступного и бесплатного начального общего, основного общего, среднего общего образования (далее – норматив финансового обеспечения государственных гарантий;</w:t>
      </w:r>
    </w:p>
    <w:p>
      <w:pPr>
        <w:pStyle w:val="Normal"/>
        <w:widowControl w:val="false"/>
        <w:tabs>
          <w:tab w:val="left" w:pos="913" w:leader="none"/>
        </w:tabs>
        <w:spacing w:lineRule="auto" w:line="240" w:before="0" w:after="0"/>
        <w:ind w:firstLine="567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>б) поправочного коэффициента к нормативу финансового обеспечения государственных гарантий, установленного для образовательной организации;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>в) количества обучающихся в образовательной организации.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2.2. Фонд оплаты труда образовательной организации рассчитывается по следующей формуле: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Arial" w:hAnsi="Arial" w:cs="Arial"/>
          <w:color w:val="FF0000"/>
          <w:sz w:val="20"/>
          <w:szCs w:val="20"/>
          <w:lang w:eastAsia="ru-RU"/>
        </w:rPr>
      </w:pPr>
      <w:r>
        <w:rPr>
          <w:rFonts w:cs="Arial" w:ascii="Arial" w:hAnsi="Arial"/>
          <w:color w:val="FF0000"/>
          <w:sz w:val="20"/>
          <w:szCs w:val="20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Arial" w:hAnsi="Arial" w:cs="Arial"/>
          <w:color w:val="00000A"/>
          <w:sz w:val="26"/>
          <w:szCs w:val="26"/>
          <w:lang w:eastAsia="ru-RU"/>
        </w:rPr>
      </w:pPr>
      <w:r>
        <w:rPr>
          <w:rFonts w:cs="Arial" w:ascii="Arial" w:hAnsi="Arial"/>
          <w:color w:val="00000A"/>
          <w:sz w:val="26"/>
          <w:szCs w:val="26"/>
          <w:lang w:eastAsia="ru-RU"/>
        </w:rPr>
        <w:t>ФОТ = N x К x Д x Н, где: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Arial" w:hAnsi="Arial" w:cs="Arial"/>
          <w:color w:val="00000A"/>
          <w:sz w:val="26"/>
          <w:szCs w:val="26"/>
          <w:lang w:eastAsia="ru-RU"/>
        </w:rPr>
      </w:pPr>
      <w:r>
        <w:rPr>
          <w:rFonts w:cs="Arial" w:ascii="Arial" w:hAnsi="Arial"/>
          <w:color w:val="00000A"/>
          <w:sz w:val="26"/>
          <w:szCs w:val="26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Arial" w:hAnsi="Arial" w:cs="Arial"/>
          <w:color w:val="00000A"/>
          <w:sz w:val="26"/>
          <w:szCs w:val="26"/>
          <w:lang w:eastAsia="ru-RU"/>
        </w:rPr>
      </w:pPr>
      <w:r>
        <w:rPr>
          <w:rFonts w:cs="Arial" w:ascii="Arial" w:hAnsi="Arial"/>
          <w:color w:val="00000A"/>
          <w:sz w:val="26"/>
          <w:szCs w:val="26"/>
          <w:lang w:eastAsia="ru-RU"/>
        </w:rPr>
        <w:t>ФОТ - расчетный фонд оплаты труда образовательной организации;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Arial" w:hAnsi="Arial" w:cs="Arial"/>
          <w:color w:val="00000A"/>
          <w:sz w:val="26"/>
          <w:szCs w:val="26"/>
          <w:lang w:eastAsia="ru-RU"/>
        </w:rPr>
      </w:pPr>
      <w:r>
        <w:rPr>
          <w:rFonts w:cs="Arial" w:ascii="Arial" w:hAnsi="Arial"/>
          <w:color w:val="00000A"/>
          <w:sz w:val="26"/>
          <w:szCs w:val="26"/>
          <w:lang w:eastAsia="ru-RU"/>
        </w:rPr>
        <w:t>N - норматив финансового обеспечения государственных гарантий;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A"/>
          <w:sz w:val="26"/>
          <w:szCs w:val="26"/>
          <w:lang w:eastAsia="ru-RU"/>
        </w:rPr>
        <w:t xml:space="preserve">К - поправочный коэффициент к нормативу финансового обеспечения </w:t>
      </w:r>
      <w:r>
        <w:rPr>
          <w:rFonts w:cs="Arial" w:ascii="Arial" w:hAnsi="Arial"/>
          <w:color w:val="000000"/>
          <w:sz w:val="26"/>
          <w:szCs w:val="26"/>
          <w:lang w:eastAsia="ru-RU"/>
        </w:rPr>
        <w:t>государственных гарантий, установленный для конкретной образовательной организации;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Д - доля фонда оплаты труда в общем объеме доведенных образовательной организации расходов на финансовое обеспечение государственных гарантий, определяемая образовательной организацией самостоятельно;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Н - количество обучающихся в образовательной организации.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</w:r>
    </w:p>
    <w:p>
      <w:pPr>
        <w:pStyle w:val="ListParagraph"/>
        <w:widowControl w:val="false"/>
        <w:numPr>
          <w:ilvl w:val="0"/>
          <w:numId w:val="7"/>
        </w:numPr>
        <w:spacing w:lineRule="auto" w:line="240" w:before="0" w:after="0"/>
        <w:jc w:val="center"/>
        <w:rPr>
          <w:rFonts w:ascii="Arial" w:hAnsi="Arial" w:cs="Arial"/>
          <w:b/>
          <w:b/>
          <w:bCs/>
          <w:color w:val="000000"/>
          <w:sz w:val="26"/>
          <w:szCs w:val="26"/>
          <w:lang w:eastAsia="ru-RU"/>
        </w:rPr>
      </w:pPr>
      <w:r>
        <w:rPr>
          <w:rFonts w:cs="Arial" w:ascii="Arial" w:hAnsi="Arial"/>
          <w:b/>
          <w:bCs/>
          <w:color w:val="000000"/>
          <w:sz w:val="26"/>
          <w:szCs w:val="26"/>
          <w:lang w:eastAsia="ru-RU"/>
        </w:rPr>
        <w:t>Формирование централизованного фонда</w:t>
      </w:r>
    </w:p>
    <w:p>
      <w:pPr>
        <w:pStyle w:val="ListParagraph"/>
        <w:widowControl w:val="false"/>
        <w:spacing w:lineRule="auto" w:line="240" w:before="0" w:after="0"/>
        <w:jc w:val="center"/>
        <w:rPr>
          <w:rFonts w:ascii="Arial" w:hAnsi="Arial" w:cs="Arial"/>
          <w:b/>
          <w:b/>
          <w:bCs/>
          <w:color w:val="000000"/>
          <w:sz w:val="26"/>
          <w:szCs w:val="26"/>
          <w:lang w:eastAsia="ru-RU"/>
        </w:rPr>
      </w:pPr>
      <w:r>
        <w:rPr>
          <w:rFonts w:cs="Arial" w:ascii="Arial" w:hAnsi="Arial"/>
          <w:b/>
          <w:bCs/>
          <w:color w:val="000000"/>
          <w:sz w:val="26"/>
          <w:szCs w:val="26"/>
          <w:lang w:eastAsia="ru-RU"/>
        </w:rPr>
        <w:t>стимулирования труда руководителей и работников образовательных организаций</w:t>
      </w:r>
    </w:p>
    <w:p>
      <w:pPr>
        <w:pStyle w:val="Normal"/>
        <w:widowControl w:val="false"/>
        <w:spacing w:lineRule="auto" w:line="240" w:before="0" w:after="0"/>
        <w:rPr>
          <w:rFonts w:ascii="Courier New" w:hAnsi="Courier New" w:cs="Courier New"/>
          <w:color w:val="000000"/>
          <w:sz w:val="24"/>
          <w:szCs w:val="24"/>
          <w:lang w:eastAsia="ru-RU"/>
        </w:rPr>
      </w:pPr>
      <w:r>
        <w:rPr>
          <w:rFonts w:cs="Courier New" w:ascii="Courier New" w:hAnsi="Courier New"/>
          <w:color w:val="000000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left" w:pos="1025" w:leader="none"/>
          <w:tab w:val="left" w:pos="1075" w:leader="none"/>
        </w:tabs>
        <w:spacing w:lineRule="auto" w:line="240" w:before="0" w:after="0"/>
        <w:ind w:firstLine="540"/>
        <w:jc w:val="both"/>
        <w:rPr/>
      </w:pPr>
      <w:r>
        <w:rPr>
          <w:rFonts w:cs="Arial" w:ascii="Arial" w:hAnsi="Arial"/>
          <w:sz w:val="26"/>
          <w:szCs w:val="26"/>
        </w:rPr>
        <w:t>3.1. Департамент по социальным вопросам администрации Заводоуковского городского округа (далее - департамент по социальным вопросам) формирует централизованный фонд стимулирования труда руководителей и работников образовательных организаций по следующей формуле: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 xml:space="preserve">                </w:t>
      </w:r>
      <w:r>
        <w:rPr>
          <w:rFonts w:cs="Arial" w:ascii="Arial" w:hAnsi="Arial"/>
          <w:sz w:val="26"/>
          <w:szCs w:val="26"/>
          <w:lang w:eastAsia="ru-RU"/>
        </w:rPr>
        <w:t>ФОТ</w:t>
      </w:r>
      <w:r>
        <w:rPr>
          <w:rFonts w:cs="Arial" w:ascii="Arial" w:hAnsi="Arial"/>
          <w:sz w:val="26"/>
          <w:szCs w:val="26"/>
          <w:vertAlign w:val="subscript"/>
          <w:lang w:eastAsia="ru-RU"/>
        </w:rPr>
        <w:t>ЦСТ</w:t>
      </w:r>
      <w:r>
        <w:rPr>
          <w:rFonts w:cs="Arial" w:ascii="Arial" w:hAnsi="Arial"/>
          <w:sz w:val="26"/>
          <w:szCs w:val="26"/>
          <w:lang w:eastAsia="ru-RU"/>
        </w:rPr>
        <w:t xml:space="preserve">    = (ФОТ</w:t>
      </w:r>
      <w:r>
        <w:rPr>
          <w:rFonts w:cs="Arial" w:ascii="Arial" w:hAnsi="Arial"/>
          <w:sz w:val="26"/>
          <w:szCs w:val="26"/>
          <w:vertAlign w:val="subscript"/>
          <w:lang w:eastAsia="ru-RU"/>
        </w:rPr>
        <w:t>1</w:t>
      </w:r>
      <w:r>
        <w:rPr>
          <w:rFonts w:cs="Arial" w:ascii="Arial" w:hAnsi="Arial"/>
          <w:sz w:val="26"/>
          <w:szCs w:val="26"/>
          <w:lang w:eastAsia="ru-RU"/>
        </w:rPr>
        <w:t xml:space="preserve"> + ФОТ</w:t>
      </w:r>
      <w:r>
        <w:rPr>
          <w:rFonts w:cs="Arial" w:ascii="Arial" w:hAnsi="Arial"/>
          <w:sz w:val="26"/>
          <w:szCs w:val="26"/>
          <w:vertAlign w:val="subscript"/>
          <w:lang w:eastAsia="ru-RU"/>
        </w:rPr>
        <w:t>2</w:t>
      </w:r>
      <w:r>
        <w:rPr>
          <w:rFonts w:cs="Arial" w:ascii="Arial" w:hAnsi="Arial"/>
          <w:sz w:val="26"/>
          <w:szCs w:val="26"/>
          <w:lang w:eastAsia="ru-RU"/>
        </w:rPr>
        <w:t xml:space="preserve"> ... + ФОТ</w:t>
      </w:r>
      <w:r>
        <w:rPr>
          <w:rFonts w:cs="Arial" w:ascii="Arial" w:hAnsi="Arial"/>
          <w:sz w:val="26"/>
          <w:szCs w:val="26"/>
          <w:vertAlign w:val="subscript"/>
          <w:lang w:eastAsia="ru-RU"/>
        </w:rPr>
        <w:t>n</w:t>
      </w:r>
      <w:r>
        <w:rPr>
          <w:rFonts w:cs="Arial" w:ascii="Arial" w:hAnsi="Arial"/>
          <w:sz w:val="26"/>
          <w:szCs w:val="26"/>
          <w:lang w:eastAsia="ru-RU"/>
        </w:rPr>
        <w:t>) x К</w:t>
      </w:r>
      <w:r>
        <w:rPr>
          <w:rFonts w:cs="Arial" w:ascii="Arial" w:hAnsi="Arial"/>
          <w:sz w:val="26"/>
          <w:szCs w:val="26"/>
          <w:vertAlign w:val="subscript"/>
          <w:lang w:eastAsia="ru-RU"/>
        </w:rPr>
        <w:t>ЦСТ</w:t>
      </w:r>
      <w:r>
        <w:rPr>
          <w:rFonts w:cs="Arial" w:ascii="Arial" w:hAnsi="Arial"/>
          <w:sz w:val="26"/>
          <w:szCs w:val="26"/>
          <w:lang w:eastAsia="ru-RU"/>
        </w:rPr>
        <w:t xml:space="preserve">  , где:</w:t>
      </w:r>
    </w:p>
    <w:p>
      <w:pPr>
        <w:pStyle w:val="Normal"/>
        <w:widowControl w:val="false"/>
        <w:spacing w:lineRule="auto" w:line="240" w:before="0" w:after="0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>ФОТ</w:t>
      </w:r>
      <w:r>
        <w:rPr>
          <w:rFonts w:cs="Arial" w:ascii="Arial" w:hAnsi="Arial"/>
          <w:sz w:val="26"/>
          <w:szCs w:val="26"/>
          <w:vertAlign w:val="subscript"/>
          <w:lang w:eastAsia="ru-RU"/>
        </w:rPr>
        <w:t>ЦСТ</w:t>
      </w:r>
      <w:r>
        <w:rPr>
          <w:rFonts w:cs="Arial" w:ascii="Arial" w:hAnsi="Arial"/>
          <w:sz w:val="26"/>
          <w:szCs w:val="26"/>
          <w:lang w:eastAsia="ru-RU"/>
        </w:rPr>
        <w:t xml:space="preserve"> - централизованный фонд стимулирования труда в образовательных организациях;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>ФОТ - расчетный фонд оплаты труда каждой образовательной организации;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>К</w:t>
      </w:r>
      <w:r>
        <w:rPr>
          <w:rFonts w:cs="Arial" w:ascii="Arial" w:hAnsi="Arial"/>
          <w:sz w:val="26"/>
          <w:szCs w:val="26"/>
          <w:vertAlign w:val="subscript"/>
          <w:lang w:eastAsia="ru-RU"/>
        </w:rPr>
        <w:t>ЦСТ</w:t>
      </w:r>
      <w:r>
        <w:rPr>
          <w:rFonts w:cs="Arial" w:ascii="Arial" w:hAnsi="Arial"/>
          <w:sz w:val="26"/>
          <w:szCs w:val="26"/>
          <w:lang w:eastAsia="ru-RU"/>
        </w:rPr>
        <w:t xml:space="preserve"> -  коэффициент  отчислений от расчетного фонда оплаты труда     образовательных организаций в централизованный фонд.  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</w:r>
    </w:p>
    <w:p>
      <w:pPr>
        <w:pStyle w:val="ListParagraph"/>
        <w:widowControl w:val="false"/>
        <w:spacing w:lineRule="auto" w:line="240" w:before="0" w:after="0"/>
        <w:ind w:left="0" w:firstLine="567"/>
        <w:jc w:val="both"/>
        <w:rPr/>
      </w:pPr>
      <w:r>
        <w:rPr>
          <w:rFonts w:cs="Arial" w:ascii="Arial" w:hAnsi="Arial"/>
          <w:sz w:val="26"/>
          <w:szCs w:val="26"/>
          <w:lang w:eastAsia="ru-RU"/>
        </w:rPr>
        <w:t>3.2. Коэффициент отчислений от расчетного фонда оплаты труда образовательных организаций в централизованный фонд (Кцст) составляет 0,03.</w:t>
      </w:r>
    </w:p>
    <w:p>
      <w:pPr>
        <w:pStyle w:val="ListParagraph"/>
        <w:widowControl w:val="false"/>
        <w:spacing w:lineRule="auto" w:line="240" w:before="0" w:after="0"/>
        <w:ind w:left="0" w:firstLine="567"/>
        <w:jc w:val="both"/>
        <w:rPr/>
      </w:pPr>
      <w:r>
        <w:rPr>
          <w:rFonts w:cs="Arial" w:ascii="Arial" w:hAnsi="Arial"/>
          <w:sz w:val="26"/>
          <w:szCs w:val="26"/>
          <w:lang w:eastAsia="ru-RU"/>
        </w:rPr>
        <w:t xml:space="preserve">3.3. Распределение централизованного фонда стимулирования труда производится в порядке, установленном Положением о распределении централизованного фонда оплаты труда, утверждаемым приказом </w:t>
      </w:r>
      <w:r>
        <w:rPr>
          <w:rFonts w:cs="Arial" w:ascii="Arial" w:hAnsi="Arial"/>
          <w:sz w:val="26"/>
          <w:szCs w:val="26"/>
        </w:rPr>
        <w:t>департамента по социальным вопросам</w:t>
      </w:r>
      <w:r>
        <w:rPr>
          <w:rFonts w:cs="Arial" w:ascii="Arial" w:hAnsi="Arial"/>
          <w:sz w:val="26"/>
          <w:szCs w:val="26"/>
          <w:lang w:eastAsia="ru-RU"/>
        </w:rPr>
        <w:t xml:space="preserve">, на осуществление стимулирующих выплат и иных поощрительных выплат руководителям </w:t>
      </w:r>
      <w:r>
        <w:rPr>
          <w:rFonts w:cs="Arial" w:ascii="Arial" w:hAnsi="Arial"/>
          <w:spacing w:val="8"/>
          <w:sz w:val="26"/>
          <w:szCs w:val="26"/>
          <w:lang w:eastAsia="ru-RU"/>
        </w:rPr>
        <w:t>образовательных организаций;</w:t>
      </w:r>
    </w:p>
    <w:p>
      <w:pPr>
        <w:pStyle w:val="ListParagraph"/>
        <w:widowControl w:val="false"/>
        <w:spacing w:lineRule="auto" w:line="240" w:before="0" w:after="0"/>
        <w:ind w:left="0"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 xml:space="preserve">3.4. Средства централизованного фонда стимулирования труда предусматриваются в бюджетной росписи </w:t>
      </w:r>
      <w:r>
        <w:rPr>
          <w:rFonts w:cs="Arial" w:ascii="Arial" w:hAnsi="Arial"/>
          <w:sz w:val="26"/>
          <w:szCs w:val="26"/>
        </w:rPr>
        <w:t>департамента по социальным вопросам</w:t>
      </w:r>
      <w:r>
        <w:rPr>
          <w:rFonts w:cs="Arial" w:ascii="Arial" w:hAnsi="Arial"/>
          <w:color w:val="000000"/>
          <w:sz w:val="26"/>
          <w:szCs w:val="26"/>
          <w:lang w:eastAsia="ru-RU"/>
        </w:rPr>
        <w:t xml:space="preserve"> бюджетных средств по отрасли «Образование».</w:t>
      </w:r>
    </w:p>
    <w:p>
      <w:pPr>
        <w:pStyle w:val="24"/>
        <w:shd w:val="clear" w:color="auto" w:fill="auto"/>
        <w:tabs>
          <w:tab w:val="left" w:pos="1437" w:leader="none"/>
        </w:tabs>
        <w:spacing w:lineRule="auto" w:line="240" w:before="0" w:after="198"/>
        <w:ind w:right="40" w:firstLine="567"/>
        <w:contextualSpacing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3.5. Стимулирующие выплаты и иные поощрительные выплаты руководителям образовательных организаций производятся за эффективность и результативность труда по следующим направлениям: </w:t>
      </w:r>
    </w:p>
    <w:p>
      <w:pPr>
        <w:pStyle w:val="24"/>
        <w:shd w:val="clear" w:color="auto" w:fill="auto"/>
        <w:tabs>
          <w:tab w:val="left" w:pos="1437" w:leader="none"/>
        </w:tabs>
        <w:spacing w:lineRule="auto" w:line="240" w:before="0" w:after="198"/>
        <w:ind w:right="40" w:firstLine="567"/>
        <w:contextualSpacing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а) эффективность работы по достижению результатов нового качества образования;</w:t>
      </w:r>
    </w:p>
    <w:p>
      <w:pPr>
        <w:pStyle w:val="24"/>
        <w:shd w:val="clear" w:color="auto" w:fill="auto"/>
        <w:tabs>
          <w:tab w:val="left" w:pos="1437" w:leader="none"/>
        </w:tabs>
        <w:spacing w:lineRule="auto" w:line="240" w:before="0" w:after="198"/>
        <w:ind w:right="40" w:firstLine="567"/>
        <w:contextualSpacing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б) создание комфортных условий для реализации образовательного процесса в образовательной организации;</w:t>
      </w:r>
    </w:p>
    <w:p>
      <w:pPr>
        <w:pStyle w:val="24"/>
        <w:shd w:val="clear" w:color="auto" w:fill="auto"/>
        <w:tabs>
          <w:tab w:val="left" w:pos="1437" w:leader="none"/>
        </w:tabs>
        <w:spacing w:lineRule="auto" w:line="240" w:before="0" w:after="198"/>
        <w:ind w:right="40" w:firstLine="567"/>
        <w:contextualSpacing/>
        <w:rPr/>
      </w:pPr>
      <w:r>
        <w:rPr>
          <w:color w:val="000000"/>
          <w:sz w:val="26"/>
          <w:szCs w:val="26"/>
        </w:rPr>
        <w:t>в) обеспечение общественного участия в образовательном процессе, повышение открытости и демократизация управления образовательной организацией;</w:t>
      </w:r>
    </w:p>
    <w:p>
      <w:pPr>
        <w:pStyle w:val="24"/>
        <w:shd w:val="clear" w:color="auto" w:fill="auto"/>
        <w:tabs>
          <w:tab w:val="left" w:pos="850" w:leader="none"/>
          <w:tab w:val="left" w:pos="1437" w:leader="none"/>
        </w:tabs>
        <w:spacing w:lineRule="auto" w:line="240" w:before="0" w:after="198"/>
        <w:ind w:right="40" w:firstLine="567"/>
        <w:contextualSpacing/>
        <w:rPr/>
      </w:pPr>
      <w:r>
        <w:rPr>
          <w:color w:val="000000"/>
          <w:sz w:val="26"/>
          <w:szCs w:val="26"/>
        </w:rPr>
        <w:t xml:space="preserve">г) </w:t>
      </w:r>
      <w:r>
        <w:rPr>
          <w:color w:val="000000"/>
          <w:sz w:val="26"/>
          <w:szCs w:val="26"/>
        </w:rPr>
        <w:t>эффективность воспитательной системы образовательной организации;</w:t>
      </w:r>
    </w:p>
    <w:p>
      <w:pPr>
        <w:pStyle w:val="24"/>
        <w:shd w:val="clear" w:color="auto" w:fill="auto"/>
        <w:tabs>
          <w:tab w:val="left" w:pos="913" w:leader="none"/>
          <w:tab w:val="left" w:pos="1163" w:leader="none"/>
          <w:tab w:val="left" w:pos="1437" w:leader="none"/>
        </w:tabs>
        <w:spacing w:lineRule="auto" w:line="240" w:before="0" w:after="198"/>
        <w:ind w:right="40" w:firstLine="567"/>
        <w:contextualSpacing/>
        <w:rPr/>
      </w:pPr>
      <w:r>
        <w:rPr>
          <w:color w:val="000000"/>
          <w:sz w:val="26"/>
          <w:szCs w:val="26"/>
        </w:rPr>
        <w:t>д) повышение профессионального мастерства педагогических работников образовательной организации;</w:t>
      </w:r>
    </w:p>
    <w:p>
      <w:pPr>
        <w:pStyle w:val="24"/>
        <w:shd w:val="clear" w:color="auto" w:fill="auto"/>
        <w:tabs>
          <w:tab w:val="left" w:pos="1437" w:leader="none"/>
        </w:tabs>
        <w:spacing w:lineRule="auto" w:line="240" w:before="0" w:after="198"/>
        <w:ind w:right="40" w:firstLine="567"/>
        <w:contextualSpacing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ж) обеспечение достижения установленных показателей по уровню заработной платы отдельных категорий работников образовательной организации;</w:t>
      </w:r>
    </w:p>
    <w:p>
      <w:pPr>
        <w:pStyle w:val="24"/>
        <w:shd w:val="clear" w:color="auto" w:fill="auto"/>
        <w:tabs>
          <w:tab w:val="left" w:pos="1437" w:leader="none"/>
        </w:tabs>
        <w:spacing w:lineRule="auto" w:line="240" w:before="0" w:after="198"/>
        <w:ind w:right="40" w:firstLine="567"/>
        <w:contextualSpacing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з) результаты независимой оценки качества условий осуществления образовательной деятельности образовательной организацией и выполнение плана по устранению недостатков, выявленных в ходе такой оценки.</w:t>
      </w:r>
    </w:p>
    <w:p>
      <w:pPr>
        <w:pStyle w:val="24"/>
        <w:shd w:val="clear" w:color="auto" w:fill="auto"/>
        <w:tabs>
          <w:tab w:val="left" w:pos="1326" w:leader="none"/>
        </w:tabs>
        <w:spacing w:lineRule="auto" w:line="240" w:before="0" w:after="198"/>
        <w:ind w:right="40" w:firstLine="567"/>
        <w:contextualSpacing/>
        <w:rPr>
          <w:sz w:val="26"/>
          <w:szCs w:val="26"/>
        </w:rPr>
      </w:pPr>
      <w:r>
        <w:rPr>
          <w:color w:val="000000"/>
          <w:sz w:val="26"/>
          <w:szCs w:val="26"/>
        </w:rPr>
        <w:t>3.6. При распределении централизованного фонда стимулирования труда (ФОТцст) дополнительно учитываются и возмещаются образовательным организациям:</w:t>
      </w:r>
    </w:p>
    <w:p>
      <w:pPr>
        <w:pStyle w:val="24"/>
        <w:shd w:val="clear" w:color="auto" w:fill="auto"/>
        <w:tabs>
          <w:tab w:val="left" w:pos="0" w:leader="none"/>
        </w:tabs>
        <w:spacing w:lineRule="auto" w:line="240" w:before="0" w:after="198"/>
        <w:ind w:right="40" w:firstLine="566"/>
        <w:contextualSpacing/>
        <w:rPr>
          <w:sz w:val="26"/>
          <w:szCs w:val="26"/>
        </w:rPr>
      </w:pPr>
      <w:r>
        <w:rPr>
          <w:color w:val="000000"/>
          <w:sz w:val="26"/>
          <w:szCs w:val="26"/>
        </w:rPr>
        <w:t>3.6.1. Расходы на начисление к выплатам, осуществленным из централизованного фонда в соответствии с пунктом 3.3. настоящей Методики:</w:t>
      </w:r>
    </w:p>
    <w:p>
      <w:pPr>
        <w:pStyle w:val="24"/>
        <w:shd w:val="clear" w:color="auto" w:fill="auto"/>
        <w:tabs>
          <w:tab w:val="left" w:pos="1163" w:leader="none"/>
        </w:tabs>
        <w:spacing w:lineRule="auto" w:line="240" w:before="0" w:after="198"/>
        <w:ind w:right="40" w:firstLine="567"/>
        <w:contextualSpacing/>
        <w:rPr>
          <w:sz w:val="26"/>
          <w:szCs w:val="26"/>
        </w:rPr>
      </w:pPr>
      <w:r>
        <w:rPr>
          <w:color w:val="000000"/>
          <w:sz w:val="26"/>
          <w:szCs w:val="26"/>
        </w:rPr>
        <w:t>а)</w:t>
        <w:tab/>
        <w:t>районных коэффициентов к заработной плате, установленных решениями органов государственной власти СССР или федеральных органов государственной власти за работу в районах Крайнего Севера и приравненных к ним местностях;</w:t>
      </w:r>
    </w:p>
    <w:p>
      <w:pPr>
        <w:pStyle w:val="24"/>
        <w:shd w:val="clear" w:color="auto" w:fill="auto"/>
        <w:tabs>
          <w:tab w:val="left" w:pos="1120" w:leader="none"/>
        </w:tabs>
        <w:spacing w:lineRule="auto" w:line="240" w:before="0" w:after="198"/>
        <w:ind w:right="40" w:firstLine="567"/>
        <w:contextualSpacing/>
        <w:rPr>
          <w:sz w:val="26"/>
          <w:szCs w:val="26"/>
        </w:rPr>
      </w:pPr>
      <w:r>
        <w:rPr>
          <w:color w:val="000000"/>
          <w:sz w:val="26"/>
          <w:szCs w:val="26"/>
        </w:rPr>
        <w:t>б)</w:t>
        <w:tab/>
        <w:t xml:space="preserve">отчислений по страховым взносам на обязательное пенсионное страхование, на обязательное медицинское страхование, на </w:t>
      </w:r>
      <w:r>
        <w:rPr>
          <w:rStyle w:val="11pt"/>
          <w:sz w:val="26"/>
          <w:szCs w:val="26"/>
        </w:rPr>
        <w:t xml:space="preserve">обязательное </w:t>
      </w:r>
      <w:r>
        <w:rPr>
          <w:color w:val="000000"/>
          <w:sz w:val="26"/>
          <w:szCs w:val="26"/>
        </w:rPr>
        <w:t>социальное страхование на случай временной нетрудоспособности и в связи с материнством, на обязательное социальное страхование от несчастных случаев на производстве и профессиональных заболеваний.</w:t>
      </w:r>
    </w:p>
    <w:p>
      <w:pPr>
        <w:pStyle w:val="24"/>
        <w:numPr>
          <w:ilvl w:val="2"/>
          <w:numId w:val="10"/>
        </w:numPr>
        <w:shd w:val="clear" w:color="auto" w:fill="auto"/>
        <w:tabs>
          <w:tab w:val="left" w:pos="0" w:leader="none"/>
        </w:tabs>
        <w:spacing w:lineRule="auto" w:line="240" w:before="0" w:after="198"/>
        <w:ind w:left="0" w:right="40" w:firstLine="566"/>
        <w:contextualSpacing/>
        <w:rPr/>
      </w:pPr>
      <w:r>
        <w:rPr>
          <w:sz w:val="26"/>
          <w:szCs w:val="26"/>
        </w:rPr>
        <w:t>Расходы на выплату отпускных в части, обусловленной увеличением среднего заработка руководителей и работников образовательных организаций в связи с осуществлением им выплат из централизованного фонда в соответствии с 3.3. настоящей Методики (не менее 1/12 от суммы каждой стимулирующей выплаты).</w:t>
      </w:r>
    </w:p>
    <w:p>
      <w:pPr>
        <w:pStyle w:val="31"/>
        <w:numPr>
          <w:ilvl w:val="0"/>
          <w:numId w:val="10"/>
        </w:numPr>
        <w:shd w:val="clear" w:color="auto" w:fill="auto"/>
        <w:spacing w:before="0" w:after="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Распределение фонда оплаты труда образовательной организации</w:t>
      </w:r>
    </w:p>
    <w:p>
      <w:pPr>
        <w:pStyle w:val="31"/>
        <w:shd w:val="clear" w:color="auto" w:fill="auto"/>
        <w:spacing w:before="0" w:after="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trike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4.1. Фонд оплаты труда образовательной организации состоит из базовой части (ФОТб), стимулирующей части (ФОТст) и социальной части (ФОТсоц).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4.2. Объем базовой части (ФОТб) составляет не более 70% фонда оплаты труда образовательной организации, предусмотренного на базовую и стимулирующую части.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Объем стимулирующей части (ФОТст) составляет не менее 30% фонда оплаты труда образовательной организации, предусмотренного на базовую и стимулирующую части.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Arial" w:ascii="Arial" w:hAnsi="Arial"/>
          <w:sz w:val="26"/>
          <w:szCs w:val="26"/>
        </w:rPr>
        <w:t xml:space="preserve">4.3. Объем социальной части (ФОТсоц) определяется исходя из установленного размера выплат, указанных в данном </w:t>
      </w:r>
      <w:hyperlink w:anchor="Par108">
        <w:r>
          <w:rPr>
            <w:rStyle w:val="Style20"/>
            <w:rFonts w:cs="Arial" w:ascii="Arial" w:hAnsi="Arial"/>
            <w:color w:val="00000A"/>
            <w:sz w:val="26"/>
            <w:szCs w:val="26"/>
            <w:u w:val="none"/>
          </w:rPr>
          <w:t>разделе</w:t>
        </w:r>
      </w:hyperlink>
      <w:r>
        <w:rPr>
          <w:rFonts w:cs="Arial" w:ascii="Arial" w:hAnsi="Arial"/>
          <w:sz w:val="26"/>
          <w:szCs w:val="26"/>
        </w:rPr>
        <w:t>, и численности работников, имеющих право на их получение в текущем финансовом году.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4.4. За счет средств социальной части (ФОТсоц) осуществляются следующие выплаты: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- единовременное вознаграждение педагогическим работникам по достижении возраста 60 лет мужчинами и 55 лет женщинами, вне зависимости от продолжения или прекращения ими трудовых отношений с образовательной организацией, в размере 26 тыс. рублей;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- ежемесячные доплаты работникам образовательных организаций, имеющим государственные награды или почетные звания СССР или Российской Федерации, ученую степень доктора наук или кандидата наук, в размере: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а) за ученую степень доктора наук – 4700 рублей в месяц;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б) за ученую степень кандидата наук – 3900 рублей в месяц;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в) за почетное звание СССР или Российской Федерации "Заслуженный...", соответствующее профилю выполняемой работы, - 3900 рублей в месяц либо за почетное звание СССР или Российской Федерации "Народный...", соответствующее профилю выполняемой работы, - 5800 рублей в месяц;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г) за орден СССР или Российской Федерации – 2300 рублей в месяц.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4.5. При формировании социальной части фонда оплаты труда в образовательных организациях дополнительно учитываются расходы на начисление к выплатам: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а) районных коэффициентов к заработной плате, установленных решениями органов государственной власти СССР или федеральных органов государственной власти за работу в районах Крайнего Севера и приравненных к ним местностях;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б) отчислений по страховым взносам на обязательное пенсионное страхование, на обязательное медицинское страхование, на обязательное социальное страхование на случай временной нетрудоспособности и в связи с материнством, на обязательное социальное страхование от несчастных случаев на производстве и профессиональных заболеваний.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4.6. Базовая часть фонда оплаты труда (ФОТб) обеспечивает гарантированную заработную плату работников образовательной организации (за исключением стимулирующих выплат), включая: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а) педагогических работников, непосредственно осуществляющих учебный процесс;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trike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б) иные категории педагогических работников;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в) административно-управленческий персонал образовательной организации;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trike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г) учебно-вспомогательный персонал образовательной организации;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д) младший обслуживающий персонал образовательной организации.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trike/>
          <w:sz w:val="26"/>
          <w:szCs w:val="26"/>
        </w:rPr>
      </w:pPr>
      <w:r>
        <w:rPr>
          <w:rFonts w:cs="Arial" w:ascii="Arial" w:hAnsi="Arial"/>
          <w:sz w:val="26"/>
          <w:szCs w:val="26"/>
        </w:rPr>
        <w:t xml:space="preserve">4.7. Руководитель образовательной организации формирует и утверждает штатное расписание организации в пределах базовой части фонда оплаты труда (ФОТб).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4.8. Размеры должностных окладов работников образовательной организации, а также выплат компенсационного характера устанавливаются в соответствии с трудовым законодательством, штатным расписанием и иными локальными нормативными актами образовательной организации в трудовых договорах, заключаемых с работниками руководителем образовательной организации.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В должностные оклады педагогических работников включается размер ежемесячной денежной компенсации на обеспечение книгоиздательской продукцией и периодическими изданиями в сумме 100 рублей.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В случае изменения фонда оплаты труда образовательной организации и (или) показателей, используемых при расчете должностных окладов работников образовательных организаций в соответствии с настоящей Методикой, с ними заключаются дополнительные соглашения к трудовому договору, предусматривающие соответствующее изменение размеров должностных окладов и (или) выплат компенсационного характера.</w:t>
      </w:r>
    </w:p>
    <w:p>
      <w:pPr>
        <w:pStyle w:val="Normal"/>
        <w:widowControl w:val="false"/>
        <w:spacing w:lineRule="auto" w:line="240" w:before="0" w:after="0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</w:r>
    </w:p>
    <w:p>
      <w:pPr>
        <w:pStyle w:val="ListParagraph"/>
        <w:widowControl w:val="false"/>
        <w:numPr>
          <w:ilvl w:val="0"/>
          <w:numId w:val="10"/>
        </w:numPr>
        <w:spacing w:lineRule="auto" w:line="240" w:before="0" w:after="0"/>
        <w:jc w:val="center"/>
        <w:rPr>
          <w:rFonts w:ascii="Arial" w:hAnsi="Arial" w:cs="Arial"/>
          <w:b/>
          <w:b/>
          <w:bCs/>
          <w:color w:val="000000"/>
          <w:sz w:val="26"/>
          <w:szCs w:val="26"/>
          <w:lang w:eastAsia="ru-RU"/>
        </w:rPr>
      </w:pPr>
      <w:bookmarkStart w:id="2" w:name="bookmark3"/>
      <w:bookmarkEnd w:id="2"/>
      <w:r>
        <w:rPr>
          <w:rFonts w:cs="Arial" w:ascii="Arial" w:hAnsi="Arial"/>
          <w:b/>
          <w:bCs/>
          <w:color w:val="000000"/>
          <w:sz w:val="26"/>
          <w:szCs w:val="26"/>
          <w:lang w:eastAsia="ru-RU"/>
        </w:rPr>
        <w:t>Определение стоимости реализации образовательной программы и повышающих коэффициентов</w:t>
      </w:r>
    </w:p>
    <w:p>
      <w:pPr>
        <w:pStyle w:val="ListParagraph"/>
        <w:widowControl w:val="false"/>
        <w:numPr>
          <w:ilvl w:val="1"/>
          <w:numId w:val="9"/>
        </w:numPr>
        <w:spacing w:lineRule="auto" w:line="240" w:before="0" w:after="0"/>
        <w:ind w:left="0" w:firstLine="709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Доля базовой части фонда оплаты труда образовательной организации для педагогических работников, непосредственно осуществля</w:t>
        <w:softHyphen/>
        <w:t>ющих учебный процесс (ФОТпп), состоит из общей части (ФОТо) и специальной части (ФОТсп).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Объем общей части (ФОТо) составляет не менее 65%  доли базовой части фонда оплаты труда образовательной организации для педагогических работников, непосредственно осуществляющих учебный процесс (ФОТпп).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Объем специальной части (ФОТсп) составляет не более 35% доли базовой части фонда оплаты труда образовательной организации для педагогических работников, непосредственно осуществляющих учебный процесс (ФОТпп).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color w:val="000000"/>
          <w:sz w:val="26"/>
          <w:szCs w:val="26"/>
        </w:rPr>
        <w:t>5.2. Общая</w:t>
      </w:r>
      <w:r>
        <w:rPr>
          <w:rFonts w:cs="Arial" w:ascii="Arial" w:hAnsi="Arial"/>
          <w:sz w:val="26"/>
          <w:szCs w:val="26"/>
        </w:rPr>
        <w:t xml:space="preserve"> часть доли базовой части фонда оплаты труда образовательной организации для педагогических работников, непосредственно осуществляющих учебный процесс (ФОТо), распределяется исходя из стоимости  реализации образовательной программы, учебной нагрузки педагога и численности обучающихся в классах.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sz w:val="26"/>
          <w:szCs w:val="26"/>
        </w:rPr>
        <w:t>5.3. Для определения стоимости реализации образовательной программы вводится условная единица "стоимость 1 ученико-часа".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Стоимость 1 ученико-часа - стоимость реализации образовательной программы, включающей 1 расчетный час работы с 1 расчетным учеником в соответствии с учебным планом.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Стоимость 1 ученико-часа рассчитывается каждой образовательной организацией самостоятельно в пределах общей части доли базовой части фонда оплаты труда образовательной организации для педагогических работников, непосредственно осуществляющих учебный процесс (ФОТо).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5.4. Стоимость реализации образовательной программы в образовательной организации (руб./ученико-час) рассчитывается по следующей формуле: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</w:r>
    </w:p>
    <w:p>
      <w:pPr>
        <w:pStyle w:val="Normal"/>
        <w:widowControl w:val="false"/>
        <w:spacing w:lineRule="auto" w:line="240" w:before="0" w:after="0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 xml:space="preserve">                                         </w:t>
      </w:r>
      <w:r>
        <w:rPr>
          <w:rFonts w:cs="Arial" w:ascii="Arial" w:hAnsi="Arial"/>
          <w:sz w:val="26"/>
          <w:szCs w:val="26"/>
          <w:lang w:eastAsia="ru-RU"/>
        </w:rPr>
        <w:t xml:space="preserve">ФОТо x </w:t>
      </w:r>
      <w:r>
        <w:rPr>
          <w:rFonts w:cs="Arial" w:ascii="Arial" w:hAnsi="Arial"/>
          <w:sz w:val="26"/>
          <w:szCs w:val="26"/>
          <w:lang w:val="en-US" w:eastAsia="ru-RU"/>
        </w:rPr>
        <w:t>n</w:t>
      </w:r>
    </w:p>
    <w:p>
      <w:pPr>
        <w:pStyle w:val="Normal"/>
        <w:widowControl w:val="false"/>
        <w:spacing w:lineRule="auto" w:line="240" w:before="0" w:after="0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 xml:space="preserve">    </w:t>
      </w:r>
      <w:r>
        <w:rPr>
          <w:rFonts w:cs="Arial" w:ascii="Arial" w:hAnsi="Arial"/>
          <w:sz w:val="26"/>
          <w:szCs w:val="26"/>
          <w:lang w:eastAsia="ru-RU"/>
        </w:rPr>
        <w:t>С</w:t>
      </w:r>
      <w:r>
        <w:rPr>
          <w:rFonts w:cs="Arial" w:ascii="Arial" w:hAnsi="Arial"/>
          <w:sz w:val="26"/>
          <w:szCs w:val="26"/>
          <w:vertAlign w:val="subscript"/>
          <w:lang w:eastAsia="ru-RU"/>
        </w:rPr>
        <w:t>ТП</w:t>
      </w:r>
      <w:r>
        <w:rPr>
          <w:rFonts w:cs="Arial" w:ascii="Arial" w:hAnsi="Arial"/>
          <w:sz w:val="26"/>
          <w:szCs w:val="26"/>
          <w:lang w:eastAsia="ru-RU"/>
        </w:rPr>
        <w:t xml:space="preserve">   = -----------------------------------------------------------, где:</w:t>
      </w:r>
    </w:p>
    <w:p>
      <w:pPr>
        <w:pStyle w:val="Normal"/>
        <w:widowControl w:val="false"/>
        <w:spacing w:lineRule="auto" w:line="240" w:before="0" w:after="0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 xml:space="preserve">          </w:t>
      </w:r>
      <w:r>
        <w:rPr>
          <w:rFonts w:cs="Arial" w:ascii="Arial" w:hAnsi="Arial"/>
          <w:sz w:val="26"/>
          <w:szCs w:val="26"/>
          <w:lang w:eastAsia="ru-RU"/>
        </w:rPr>
        <w:t>(а1 x в1 + а2 x в2 + а3 x в3 ... + а10 x в10 + а11 x в11) x 52</w:t>
      </w:r>
    </w:p>
    <w:p>
      <w:pPr>
        <w:pStyle w:val="Normal"/>
        <w:widowControl w:val="false"/>
        <w:spacing w:lineRule="auto" w:line="240" w:before="0" w:after="0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>С</w:t>
      </w:r>
      <w:r>
        <w:rPr>
          <w:rFonts w:cs="Arial" w:ascii="Arial" w:hAnsi="Arial"/>
          <w:sz w:val="26"/>
          <w:szCs w:val="26"/>
          <w:vertAlign w:val="subscript"/>
          <w:lang w:eastAsia="ru-RU"/>
        </w:rPr>
        <w:t>ТП</w:t>
      </w:r>
      <w:r>
        <w:rPr>
          <w:rFonts w:cs="Arial" w:ascii="Arial" w:hAnsi="Arial"/>
          <w:sz w:val="26"/>
          <w:szCs w:val="26"/>
          <w:lang w:eastAsia="ru-RU"/>
        </w:rPr>
        <w:t xml:space="preserve">   - стоимость реализации образовательной программы;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ФОТо - общая часть доли базовой части фонда оплаты труда образовательной организации для педагогических работников, непосредственно осуществляющих учебный процесс;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52 - количество недель в году;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  <w:lang w:val="en-US" w:eastAsia="ru-RU"/>
        </w:rPr>
        <w:t>n</w:t>
      </w:r>
      <w:r>
        <w:rPr>
          <w:rFonts w:cs="Arial" w:ascii="Arial" w:hAnsi="Arial"/>
          <w:sz w:val="26"/>
          <w:szCs w:val="26"/>
        </w:rPr>
        <w:t xml:space="preserve"> - количество учебных недель в учебном году;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а1 - количество обучающихся в первых классах;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а2 - количество обучающихся во вторых классах;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а3 - количество обучающихся в третьих классах;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...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а11 - количество обучающихся в одиннадцатых классах;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в1 - годовое количество часов по учебному плану в первом классе;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в2 - годовое количество часов по учебному плану во втором классе;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в3 - годовое количество часов по учебному плану в третьем классе;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...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в11 - годовое количество часов по учебному плану в одиннадцатом классе.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sz w:val="26"/>
          <w:szCs w:val="26"/>
        </w:rPr>
        <w:t xml:space="preserve">5.5. Годовое количество часов, учитываемое при определении стоимости ученико-часа, определяется образовательной организацией самостоятельно в соответствии с учебным планом, включая часы педагогической коррекции. 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737"/>
        <w:jc w:val="both"/>
        <w:rPr/>
      </w:pPr>
      <w:r>
        <w:rPr>
          <w:rFonts w:cs="Arial" w:ascii="Arial" w:hAnsi="Arial"/>
          <w:sz w:val="26"/>
          <w:szCs w:val="26"/>
        </w:rPr>
        <w:t>5.6. Специальная часть доли базовой части фонда оплаты труда образовательной организации для педагогических работников, непосредственно осуществляющих учебный процесс (ФОТсп), обеспечивает: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Arial" w:ascii="Arial" w:hAnsi="Arial"/>
          <w:sz w:val="26"/>
          <w:szCs w:val="26"/>
        </w:rPr>
        <w:t xml:space="preserve">а) осуществление выплат компенсационного характера в случаях, предусмотренных Трудовым </w:t>
      </w:r>
      <w:hyperlink r:id="rId2">
        <w:r>
          <w:rPr>
            <w:rStyle w:val="Style20"/>
            <w:rFonts w:cs="Arial" w:ascii="Arial" w:hAnsi="Arial"/>
            <w:color w:val="00000A"/>
            <w:sz w:val="26"/>
            <w:szCs w:val="26"/>
            <w:u w:val="none"/>
          </w:rPr>
          <w:t>кодексом</w:t>
        </w:r>
      </w:hyperlink>
      <w:r>
        <w:rPr>
          <w:rFonts w:cs="Arial" w:ascii="Arial" w:hAnsi="Arial"/>
          <w:sz w:val="26"/>
          <w:szCs w:val="26"/>
        </w:rPr>
        <w:t xml:space="preserve"> Российской Федерации;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Arial" w:ascii="Arial" w:hAnsi="Arial"/>
          <w:sz w:val="26"/>
          <w:szCs w:val="26"/>
        </w:rPr>
        <w:t>б) осуществление выплат компенсационного характера, предусмотренных локальными нормативными актами образовательной организации (доплата за заведование кабинетом, доплата за классное руководство, доплата за методическое обеспечение образовательного процесса);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Arial" w:ascii="Arial" w:hAnsi="Arial"/>
          <w:sz w:val="26"/>
          <w:szCs w:val="26"/>
        </w:rPr>
        <w:t>в) установление повышающих коэффициентов, учитываемых при определении должностного оклада педагогического работника.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sz w:val="26"/>
          <w:szCs w:val="26"/>
        </w:rPr>
        <w:t>5.7. Доплата за классное руководство в образовательных организациях выплачивается в размере 1000 рублей в месяц за выполнение функций классного руководителя в классе (классах) с численностью обучающихся: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Arial" w:ascii="Arial" w:hAnsi="Arial"/>
          <w:sz w:val="26"/>
          <w:szCs w:val="26"/>
        </w:rPr>
        <w:t xml:space="preserve">а) не менее 14 человек - для образовательных организаций Заводоуковского городского округа, расположенных </w:t>
      </w:r>
      <w:bookmarkStart w:id="3" w:name="__DdeLink__1992_7939517"/>
      <w:r>
        <w:rPr>
          <w:rFonts w:cs="Arial" w:ascii="Arial" w:hAnsi="Arial"/>
          <w:sz w:val="26"/>
          <w:szCs w:val="26"/>
        </w:rPr>
        <w:t>на территории посёлков и других сельских населенных пунктов, не являющихся муниципальными образованиями</w:t>
      </w:r>
      <w:bookmarkEnd w:id="3"/>
      <w:r>
        <w:rPr>
          <w:rFonts w:cs="Arial" w:ascii="Arial" w:hAnsi="Arial"/>
          <w:sz w:val="26"/>
          <w:szCs w:val="26"/>
        </w:rPr>
        <w:t xml:space="preserve">;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б) не менее 25 человек - для образовательных организаций Заводоуковского городского округа, расположенных в городе Заводоуковске;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в) менее наполняемости установленной в подпунктах а, б плата за каждого обучающегося производится в следующих размерах: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Arial" w:ascii="Arial" w:hAnsi="Arial"/>
          <w:sz w:val="26"/>
          <w:szCs w:val="26"/>
        </w:rPr>
        <w:t>70 рублей - для образовательных организаций Заводоуковского городского округа, расположенных на территории посёлков и других сельских населенных пунктов, не являющихся муниципальными образованиями;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Arial" w:ascii="Arial" w:hAnsi="Arial"/>
          <w:sz w:val="26"/>
          <w:szCs w:val="26"/>
        </w:rPr>
        <w:t>40 рублей - для образовательных организаций Заводоуковского городского округа, расположенных в городе Заводоуковске.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sz w:val="26"/>
          <w:szCs w:val="26"/>
        </w:rPr>
        <w:t>5.8. Повышающие коэффициенты, учитываемые при определении должностного оклада педагогического работника, непосредственно осуществляющего учебный процесс, устанавливаются с учетом: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а) сложности и (или) приоритетности предмета (К);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б) квалификационной категории педагога (А);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в) особенностей преподавания учебных предметов, реализации адаптированных основных общеобразовательных программам и форм обучения (П).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sz w:val="26"/>
          <w:szCs w:val="26"/>
        </w:rPr>
        <w:t>5.9. Повышающие коэффициенты с учетом сложности и (или) приоритетности предмета (К) устанавливаются в размере: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/>
      </w:pPr>
      <w:r>
        <w:rPr>
          <w:rFonts w:cs="Arial" w:ascii="Arial" w:hAnsi="Arial"/>
          <w:sz w:val="26"/>
          <w:szCs w:val="26"/>
        </w:rPr>
        <w:t>а) К = 1,20 (русский язык, математика, алгебра, алгебра и начала анализа, геометрия, вероятность и статистика, физика, иностранный язык);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 xml:space="preserve">б) К = 1,15 (предметы учебного плана 1 - 4 классов начальной школы); 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в) К = 1,10 (литература, родной язык и литература, химия, география, биология, история, обществознание, информатика и информационные коммуникационные технологии, часы педагогической коррекции);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г) К = 1,05 (физическая культура, основы безопасности жизнедеятельности);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д) К = 1,0 (право, экономика, технология, ОДНКНР, МХК, музыка, изобразительное искусство, индивидуальный проект, учебные курсы и предметы из части, формируемой участниками образовательных отношений, за исключением образовательных предметов, указанных в подпунктах а, б, в, г настоящего пункта).</w:t>
        <w:tab/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sz w:val="26"/>
          <w:szCs w:val="26"/>
        </w:rPr>
        <w:t>5.10. Повышающие коэффициенты за квалификационную категорию педагога (А) устанавливаются в размере: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а) для педагогических работников, имеющих высшую квалификационную категорию – 1,20;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б) для педагогических работников, имеющих первую квалификационную категорию, - 1,10;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в) для педагогических работников, имеющих квалификационную категорию «педагог-методист», - 1,40;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г) для педагогических работников, имеющих квалификационную категорию «педагог-наставник», - 1,30.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sz w:val="26"/>
          <w:szCs w:val="26"/>
        </w:rPr>
        <w:t>5.11. Повышающие коэффициенты с учетом особенностей преподавания предмета в соответствии с учебным планом, особенностей реализации адаптированных основных общеобразовательных программам и особенностей форм обучения (П) устанавливаются следующие: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  <w:lang w:eastAsia="ru-RU"/>
        </w:rPr>
        <w:t>а) за преподавание по адаптированным основным общеобразовательным программам, интегрированным в общеобразовательные классы –1,15 (применяется к общему контингенту обучающихся в классе);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>б) за преподавание отдельных предметов по программам профильного и (или) углубленного (расширенного) изучения  – 1,05;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>в) за работу по индивидуальным программам обучения с применением дистанционных, в том числе сетевых технологий – 1,05;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>За преподавание отдельных предметов при делении класса на подгруппы повышающий коэффициент устанавливается локальным актом образовательной организации.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</w:r>
    </w:p>
    <w:p>
      <w:pPr>
        <w:pStyle w:val="ListParagraph"/>
        <w:widowControl w:val="false"/>
        <w:numPr>
          <w:ilvl w:val="0"/>
          <w:numId w:val="9"/>
        </w:numPr>
        <w:spacing w:lineRule="auto" w:line="240" w:before="0" w:after="0"/>
        <w:ind w:left="0" w:firstLine="567"/>
        <w:jc w:val="center"/>
        <w:rPr>
          <w:rFonts w:ascii="Arial" w:hAnsi="Arial" w:cs="Arial"/>
          <w:b/>
          <w:b/>
          <w:bCs/>
          <w:color w:val="000000"/>
          <w:sz w:val="26"/>
          <w:szCs w:val="26"/>
          <w:lang w:eastAsia="ru-RU"/>
        </w:rPr>
      </w:pPr>
      <w:bookmarkStart w:id="4" w:name="bookmark4"/>
      <w:bookmarkEnd w:id="4"/>
      <w:r>
        <w:rPr>
          <w:rFonts w:cs="Arial" w:ascii="Arial" w:hAnsi="Arial"/>
          <w:b/>
          <w:bCs/>
          <w:color w:val="000000"/>
          <w:sz w:val="26"/>
          <w:szCs w:val="26"/>
          <w:lang w:eastAsia="ru-RU"/>
        </w:rPr>
        <w:t>Определение размера должностного оклада педагогических работников, непосредственно осуществляющих учебный процесс</w:t>
      </w:r>
    </w:p>
    <w:p>
      <w:pPr>
        <w:pStyle w:val="Normal"/>
        <w:widowControl w:val="false"/>
        <w:spacing w:lineRule="auto" w:line="240" w:before="0" w:after="0"/>
        <w:ind w:firstLine="567"/>
        <w:jc w:val="center"/>
        <w:rPr>
          <w:rFonts w:ascii="Arial" w:hAnsi="Arial" w:cs="Arial"/>
          <w:b/>
          <w:b/>
          <w:bCs/>
          <w:color w:val="000000"/>
          <w:sz w:val="26"/>
          <w:szCs w:val="26"/>
          <w:lang w:eastAsia="ru-RU"/>
        </w:rPr>
      </w:pPr>
      <w:r>
        <w:rPr>
          <w:rFonts w:cs="Arial" w:ascii="Arial" w:hAnsi="Arial"/>
          <w:b/>
          <w:bCs/>
          <w:color w:val="000000"/>
          <w:sz w:val="26"/>
          <w:szCs w:val="26"/>
          <w:lang w:eastAsia="ru-RU"/>
        </w:rPr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>6.1. Должностной оклад педагогического работника, непосредственно осуществляющего учебный процесс, предусматривает фиксированный размер оплаты его труда за исполнение должностных обязанностей в пределах установленной продолжительности рабочего времени (не более 36 часов в неделю).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>6.2. Должностной оклад педагогического работника, непосредственно осуществляющего учебный процесс, рассчитывается по следующей формуле: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 xml:space="preserve">ДО = Стп x Н x Т x К x А х </w:t>
      </w:r>
      <w:r>
        <w:rPr>
          <w:rFonts w:cs="Arial" w:ascii="Arial" w:hAnsi="Arial"/>
          <w:sz w:val="26"/>
          <w:szCs w:val="26"/>
          <w:lang w:eastAsia="ru-RU"/>
        </w:rPr>
        <w:t xml:space="preserve">П+Д, </w:t>
      </w:r>
      <w:r>
        <w:rPr>
          <w:rFonts w:cs="Arial" w:ascii="Arial" w:hAnsi="Arial"/>
          <w:color w:val="000000"/>
          <w:sz w:val="26"/>
          <w:szCs w:val="26"/>
          <w:lang w:eastAsia="ru-RU"/>
        </w:rPr>
        <w:t>где: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ДО - должностной оклад педагогического работника, непосредственно осуществляющего учебный процесс;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Стп - расчетная стоимость реализации образовательной программы (руб./ученико-час);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Н - количество обучающихся по предмету в классе (классах);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Т - количество часов по предмету в месяц;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К - повышающий коэффициент за сложность и (или) приоритетность предмета;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А - повышающие коэффициент за квалификационную категорию педагога;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>П - повышающие коэффициенты за особенности преподавания учебных предметов, реализацию адаптированных основных общеобразовательных программам и форм обучения;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>Д - компенсация на обеспечение книгоиздательской продукцией и периодическими изданиями в размере 100 рублей.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>6.3. В случае, если педагог ведет несколько предметов, его должностной оклад рассчитывается по следующей формуле: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 xml:space="preserve">ДО = Стп x (Н1 x Т1 x К1 + Н2 x Т2 x К2 ... + Нn x Тn x Кn) x А </w:t>
      </w:r>
      <w:r>
        <w:rPr>
          <w:rFonts w:cs="Arial" w:ascii="Arial" w:hAnsi="Arial"/>
          <w:sz w:val="26"/>
          <w:szCs w:val="26"/>
          <w:lang w:eastAsia="ru-RU"/>
        </w:rPr>
        <w:t>х П+Д.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>6.4 Должностной оклад педагогического работника, осуществляющего обучение детей на дому, рассчитывается по следующей формуле: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ДО = Стп х Н х Т х К х А+Д, где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Стп - расчетная стоимость реализации образовательной программы (руб./ученико-час);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Н – средняя наполняемость по школе (параллели);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Т - количество часов по предмету в месяц;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К - повышающий коэффициент за сложность и (или) приоритетность предмета;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>А - повышающий коэффициент за квалификационную категорию педагога;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 xml:space="preserve">Д - </w:t>
      </w:r>
      <w:bookmarkStart w:id="5" w:name="__DdeLink__1405_1146109331"/>
      <w:r>
        <w:rPr>
          <w:rFonts w:cs="Arial" w:ascii="Arial" w:hAnsi="Arial"/>
          <w:color w:val="000000"/>
          <w:sz w:val="26"/>
          <w:szCs w:val="26"/>
          <w:lang w:eastAsia="ru-RU"/>
        </w:rPr>
        <w:t>компенсация на обеспечение книгоиздательской продукцией и периодическими изданиями в размере 100 рублей</w:t>
      </w:r>
      <w:bookmarkEnd w:id="5"/>
      <w:r>
        <w:rPr>
          <w:rFonts w:cs="Arial" w:ascii="Arial" w:hAnsi="Arial"/>
          <w:color w:val="000000"/>
          <w:sz w:val="26"/>
          <w:szCs w:val="26"/>
          <w:lang w:eastAsia="ru-RU"/>
        </w:rPr>
        <w:t xml:space="preserve">.  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 w:before="0" w:after="0"/>
        <w:ind w:left="1440" w:right="0" w:hanging="0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 xml:space="preserve">     </w:t>
      </w:r>
      <w:r>
        <w:rPr>
          <w:rFonts w:cs="Arial" w:ascii="Arial" w:hAnsi="Arial"/>
          <w:color w:val="000000"/>
          <w:sz w:val="26"/>
          <w:szCs w:val="26"/>
          <w:lang w:eastAsia="ru-RU"/>
        </w:rPr>
        <w:t xml:space="preserve">6.5. </w:t>
      </w:r>
      <w:r>
        <w:rPr>
          <w:rFonts w:cs="Arial" w:ascii="Arial" w:hAnsi="Arial"/>
          <w:color w:val="000000"/>
          <w:sz w:val="26"/>
          <w:szCs w:val="26"/>
          <w:lang w:eastAsia="ru-RU"/>
        </w:rPr>
        <w:t>Должностной оклад педагогического работника, осуществляющего обучение при делении класса на подгруппы, рассчитывается по следующей формуле: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>ДО = Стп х Н х Т х К х А х П +Д, где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ДО - должностной оклад педагогического работника, непосредственно осуществляющего учебный процесс;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Стп - расчетная стоимость реализации образовательной программы (руб./ученико-час);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Н - количество учащихся по предмету в подгруппе;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Т - количество часов по предмету в месяц (согласно учебному плану);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А - повышающий коэффициент за квалификационную категорию педагога.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К - повышающий коэффициент за сложность и (или) приоритетность предмета;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>
          <w:rFonts w:cs="Arial" w:ascii="Arial" w:hAnsi="Arial"/>
          <w:sz w:val="26"/>
          <w:szCs w:val="26"/>
          <w:lang w:eastAsia="ru-RU"/>
        </w:rPr>
        <w:t>П – повышающий коэффициент за преподавание отдельных предметов при делении класса на подгруппы;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>
          <w:rFonts w:cs="Arial" w:ascii="Arial" w:hAnsi="Arial"/>
          <w:sz w:val="26"/>
          <w:szCs w:val="26"/>
          <w:lang w:eastAsia="ru-RU"/>
        </w:rPr>
        <w:t xml:space="preserve">Д -  </w:t>
      </w:r>
      <w:r>
        <w:rPr>
          <w:rFonts w:cs="Arial" w:ascii="Arial" w:hAnsi="Arial"/>
          <w:color w:val="000000"/>
          <w:sz w:val="26"/>
          <w:szCs w:val="26"/>
          <w:lang w:eastAsia="ru-RU"/>
        </w:rPr>
        <w:t>компенсация на обеспечение книгоиздательской продукцией и периодическими изданиями в размере 100 рублей.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>6.6. При определении стоимости реализации образовательной программы (руб./ученико-час) и, соответственно, должностного оклада педагогического работника, непосредственно осуществляющего учебный процесс, учитывается его аудиторная и внеаудиторная занятость.</w:t>
      </w:r>
    </w:p>
    <w:p>
      <w:pPr>
        <w:pStyle w:val="Normal"/>
        <w:spacing w:before="0" w:after="0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ab/>
        <w:t>Аудиторная и внеаудиторная занятость педагогических работников, непосредственно осуществляющих учебный процесс, включает в себя следующие виды работы в соответствии с должностными обязанностями конкретного работника: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-    проведение уроков и подготовка к ним, проверка письменных работ;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- выполнение обязанностей, связанных с участием в работе педагогических, методических советов, с работой по проведению родительских собраний, консультаций, оздоровительных, воспитательных мероприятий, предусмотренных образовательной программой;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- организация и проведение методической, диагностической и консультативной помощи родителям (законным представителям), семьям, обучающим детей на дому в соответствии с медицинским заключением;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-  подготовка к работе по обучению и воспитанию обучающихся, изучению их индивидуальных способностей, интересов и склонностей, а также их семейных обстоятельств и жилищно-бытовых условий;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- периодические кратковременные дежурства в образовательной организации в период образовательного процесса, в том числе во время перерывов между занятиями.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cs="Arial" w:ascii="Arial" w:hAnsi="Arial"/>
          <w:color w:val="000000"/>
          <w:sz w:val="20"/>
          <w:szCs w:val="20"/>
          <w:lang w:eastAsia="ru-RU"/>
        </w:rPr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945" w:hanging="0"/>
        <w:jc w:val="center"/>
        <w:rPr>
          <w:rFonts w:ascii="Arial" w:hAnsi="Arial" w:cs="Arial"/>
          <w:b/>
          <w:b/>
          <w:bCs/>
          <w:color w:val="000000"/>
          <w:sz w:val="26"/>
          <w:szCs w:val="26"/>
          <w:lang w:eastAsia="ru-RU"/>
        </w:rPr>
      </w:pPr>
      <w:r>
        <w:rPr>
          <w:rFonts w:cs="Arial" w:ascii="Arial" w:hAnsi="Arial"/>
          <w:b/>
          <w:bCs/>
          <w:color w:val="000000"/>
          <w:sz w:val="26"/>
          <w:szCs w:val="26"/>
          <w:lang w:eastAsia="ru-RU"/>
        </w:rPr>
        <w:t xml:space="preserve">7. </w:t>
      </w:r>
      <w:bookmarkStart w:id="6" w:name="bookmark5"/>
      <w:r>
        <w:rPr>
          <w:rFonts w:cs="Arial" w:ascii="Arial" w:hAnsi="Arial"/>
          <w:b/>
          <w:bCs/>
          <w:color w:val="000000"/>
          <w:sz w:val="26"/>
          <w:szCs w:val="26"/>
          <w:lang w:eastAsia="ru-RU"/>
        </w:rPr>
        <w:t xml:space="preserve">Распределение стимулирующей части фонда оплаты труда </w:t>
      </w:r>
      <w:bookmarkEnd w:id="6"/>
      <w:r>
        <w:rPr>
          <w:rFonts w:cs="Arial" w:ascii="Arial" w:hAnsi="Arial"/>
          <w:b/>
          <w:bCs/>
          <w:color w:val="000000"/>
          <w:sz w:val="26"/>
          <w:szCs w:val="26"/>
          <w:lang w:eastAsia="ru-RU"/>
        </w:rPr>
        <w:t>образовательной организации</w:t>
      </w:r>
    </w:p>
    <w:p>
      <w:pPr>
        <w:pStyle w:val="ListParagraph"/>
        <w:widowControl w:val="false"/>
        <w:spacing w:lineRule="auto" w:line="240" w:before="0" w:after="0"/>
        <w:ind w:left="567" w:hanging="0"/>
        <w:rPr>
          <w:rFonts w:ascii="Arial" w:hAnsi="Arial" w:cs="Arial"/>
          <w:b/>
          <w:b/>
          <w:bCs/>
          <w:color w:val="000000"/>
          <w:sz w:val="20"/>
          <w:szCs w:val="20"/>
          <w:lang w:eastAsia="ru-RU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ru-RU"/>
        </w:rPr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>
          <w:rFonts w:ascii="Arial" w:hAnsi="Arial" w:cs="Arial"/>
          <w:strike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7.1. Стимулирующая часть фонда оплаты труда образовательной организации (ФОТст) обеспечивает осуществление работникам образовательной организации стимулирующих выплат и иных поощрительных выплат.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7.2. Стимулирующие выплаты и иные поощрительные выплаты распределяются комиссией управляющего совета образовательной организации по представлению руководителя образовательной организации.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Доля средств, направляемых на стимулирующие выплаты работникам административно-управленческого персонала, не может превышать долю объема базовой части фонда оплаты труда (ФОТб), приходящуюся на  административно-управленческий персонал, в пределах финансового года.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7.3. Основными направлениями для осуществления стимулирующих выплат при разработке показателей эффективности и результативности труда для основных категорий работников образовательной организации являются: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а) качество обучения;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б) здоровье обучающихся;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  <w:t>в) воспитание обучающихся.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</w:rPr>
        <w:t xml:space="preserve">7.4. Размеры, порядок и условия осуществления стимулирующих выплат и иных поощрительных выплат, включая показатели эффективности и результативности труда для основных категорий работников образовательной организации, определяются в локальных нормативных актах образовательной организации и (или) в коллективных договорах </w:t>
      </w:r>
      <w:r>
        <w:rPr>
          <w:rFonts w:cs="Arial" w:ascii="Arial" w:hAnsi="Arial"/>
          <w:sz w:val="26"/>
          <w:szCs w:val="26"/>
          <w:lang w:eastAsia="ru-RU"/>
        </w:rPr>
        <w:t>с учетом следующих показателей:</w:t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40"/>
        <w:jc w:val="both"/>
        <w:rPr>
          <w:rFonts w:ascii="Arial" w:hAnsi="Arial" w:cs="Arial"/>
          <w:b/>
          <w:b/>
          <w:bCs/>
          <w:color w:val="FF0000"/>
          <w:sz w:val="20"/>
          <w:szCs w:val="20"/>
          <w:lang w:eastAsia="ru-RU"/>
        </w:rPr>
      </w:pPr>
      <w:r>
        <w:rPr>
          <w:rFonts w:cs="Arial" w:ascii="Arial" w:hAnsi="Arial"/>
          <w:b/>
          <w:bCs/>
          <w:color w:val="FF0000"/>
          <w:sz w:val="20"/>
          <w:szCs w:val="20"/>
          <w:lang w:eastAsia="ru-RU"/>
        </w:rPr>
      </w:r>
    </w:p>
    <w:tbl>
      <w:tblPr>
        <w:tblW w:w="10269" w:type="dxa"/>
        <w:jc w:val="left"/>
        <w:tblInd w:w="-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8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2547"/>
        <w:gridCol w:w="3807"/>
        <w:gridCol w:w="60"/>
        <w:gridCol w:w="3855"/>
      </w:tblGrid>
      <w:tr>
        <w:trPr/>
        <w:tc>
          <w:tcPr>
            <w:tcW w:w="25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  <w:t>Заместители руководителя по УВР</w:t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Развитие материально-технической базы образовательной организации и создание комфортных условий для участников образовательного процесса (учителей, учащихся, родителей)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Эффективное использование  современного учебно-наглядного оборудования в образовательном процессе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эффективной работы  по обеспечению общественного порядка, безопасности и антитеррористической защищенности образовательной организации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да/нет, наличие отчетной документации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Полноценное и качественное использование фондов школьных библиотек, в т.ч. электронных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Повышение профессионального мастерства педагогических работников 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 xml:space="preserve">Организация эффективного сопровождения профессионального роста педагогов 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педагогов, аттестованных на первую и высшую категории; В - количество педагогов; N–доля педагогов, аттестованных на первую и высшую категории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Обеспечение совместной работы по реализации метапредметного обучения и групповых технологий развития обучающихся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педагогов, входящих в состав творческих, проектных групп; В - количество педагогов; N–доля педагогов, входящих в состав творческих, проектных групп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Разработка и реализация индивидуального образовательного маршрута, направленного на повышение профессионального роста в рамках утверждённых форматов повышения квалификации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 количество педагогов, участвующих в мероприятиях, направленных на повышение профессионального роста в рамках утверждённых форматов повышения квалификации; В - количество педагогов ОУ; N – доля педагогов, участвующих в мероприятиях, направленных на повышение профессионального роста в рамках утверждённых форматов повышения квалификации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Соблюдение норм профессиональной этики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Наставничество и сопровождение молодых специалистов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Обеспечение общественного участия в образовательном процессе, повышение открытости и демократизация управления образовательной организацией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обоснованных обращений обучающихся и родителей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жалоб родителей (законных представителей) обучающихся воспитанников образовательной организации, работников образовательной организации по деятельности образовательной организации. 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 xml:space="preserve">Организация своевременной актуализации сайта, соответствующего действующему законодательству 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Использование ресурса электронного документооборота во всех процедурах образовательной и управленческой деятельности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Развитие форм работы с родительской общественностью, в т.ч. реализация семейно-школьных проектов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 количество мероприятий (проектов), организованных совместно с родителями; В - количество мероприятий, ориентированных на родительскую общественность; N –доля мероприятий (проектов), организованных совместно с родителями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Эффективность работы по достижению результатов нового качества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Достижение результатов освоения обучающимися основной образовательной программы в соответствии  с индивидуальными психофизическими возможностями обучающихся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освоивших основные образовательные программы; В-количество количество обучающихся; N – доля обучающихся, освоивших основные образовательные программы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Проведение системной работы по сохранению контингента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 выбывших из ОУ и не продолжающих обучение; В- количество обучающихся; N – доля обучающихся выбывших из ОУ и не продолжающих обучение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 xml:space="preserve">Сохранение и повышение результатов внешней оценки качества образования (ГИА, ЕГЭ,  РСОКО и др.) 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выпускников (обучающихся), успешно прошедших итоговую аттестацию (выполнивших проверочную работу); В - количество выпускников (обучающихся); N – доля выпускников (обучающихся), успешно прошедших итоговую аттестацию (выполнивших проверочную работу)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Проведение системной работы по сохранению здоровья и социализации обучающихся, в том числе с ограниченными возможностями здоровья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 с ограниченными возможностями здоровья, охваченных всеми видами обучения (социализации); В - количество обучающихся с ограниченными возможностями здоровья; N – доля обучающихся с ограниченными возможностями здоровья, охваченных всеми видами обучения (социализации)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Позитивные результаты образовательной деятельности по подготовке победителей и призеров конкурсных мероприятий интеллектуальной направленности различного уровня, в том числе детей с ограниченными возможностями здоровья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принявших участие вконкурсных мероприятий интеллектуальной направленности различного уровня; В - количество обучающихся; N – доля обучающихся, принявших участие вконкурсных мероприятий интеллектуальной направленности различного уровня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Использование различных форм и технологий профориентационной работы и профильного обучения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 10,11 классов, охваченных профильным обучением; В - количество обучающихся 10,11 классов; N -доля обучающихся, охваченных профильным обучением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Наличие отчетной документации по профориентационной деятельности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 xml:space="preserve">Результативность обучающихся при прохождении индивидуальных образовательных маршрутов 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реализующих индивидуальные учебные планы; В - количество обучающихся; N - доля обучающихся, реализующих индивидуальные учебные планы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Эффективность воспитательной системы образовательной организации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досуговой, внеурочной занятости обучающихся, в том числе по предмету, включая каникулярный период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охваченных всеми видами досуговой занятости; В - количество обучающихся; N – доля обучающихся, охваченных всеми видами досуговой занятости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Реализация программ дополнительного образования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охваченных программами дополнительного образования; В - количество обучающихся; N -доля обучающихся, охваченных программами дополнительного образования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участия обучающихся и родителей в различных  мероприятиях, организованных с участием других ведомств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родителей и обучающихся посетивших мероприятия с участием представителей ведомств; В-количество детей и родителей; N-доля охваченных различными формами межведомственного взаимодействия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Вовлечение обучающихся в  различные формы добровольческой деятельности, общественного движения и самоуправления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вовлеченных в мероприятия социально-значимой деятельности; В - количество обучающихся; N -доля обучающихся охваченных социально-значимой деятельностью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профилактической работы с обучающимися (отсутствие/снижение количества преступлений (правонарушений) среди обучающихся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или  снижение правонарушений и преступлений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Участие в комплексном психолого-педагогическом сопровождении обучающихся в части вопросов, касающихся успешности развития и благополучия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эмоционально стабильных и находящихся в состоянии благополучия; В - количество обучающихся; N – доля обучающихся, эмоционально стабильных и находящихся в состоянии благополучия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и проведение мероприятий, обеспечивающих активное взаимодействие с родителями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мероприятий, организованных и проведенных с участием родителей; В - количество мероприятий, предусматривающих привлечение родителей; N – доля мероприятий, организованных и проведенных с участием родителей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Охват обучающихся мероприятиями  здоровьесберегающей направленности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охваченных мероприятиями по программам сохранения и укрепления здоровья; В-количество обучающихся; N-доля обучающихся, охваченных мероприятиями по программам сохранения и укрепления здоровья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Охват обучающихся 2-х разовым горячим питанием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охваченных 2-х разовым питанием; В-количество обучающихся; N-доля обучающихся, охваченных 2-х разовым питанием; Позитивная динамика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Реализация мероприятий физкультурно-оздоровительной и спортивной направленности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  <w:lang w:eastAsia="ru-RU"/>
              </w:rPr>
              <w:t>N = A/B*100%, где А-количество обучающихся, охваченных физкультурно-оздоровительными и спортивными мероприятиями; В - количество обучающихся; N - доля обучающихся, охваченных  физкультурно-оздоровительными и спортивными мероприятиями</w:t>
            </w:r>
          </w:p>
        </w:tc>
      </w:tr>
      <w:tr>
        <w:trPr>
          <w:trHeight w:val="705" w:hRule="atLeast"/>
        </w:trPr>
        <w:tc>
          <w:tcPr>
            <w:tcW w:w="25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  <w:t>Учитель</w:t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Развитие материально-технической базы образовательной организации и создание комфортных условий для участников образовательного процесса (учителей, учащихся, родителей)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Эффективное использование  современного учебно-наглядного оборудования в образовательном процессе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Создание элементов развивающей среды (оформление ОУ, кабинета, музея и т.д.)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Повышение профессионального мастерства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Осуществление совместной работы по реализации метапредметного обучения и групповых технологий развития обучающихся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да/нет, наличие отчетной документации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Разработка и реализация индивидуального образовательного маршрута, направленного на повышение профессионального роста в рамках утверждённых форматов повышения квалификации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да/нет, наличие отчетной документации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Соблюдение норм профессиональной этики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Наставничество и сопровождение молодых специалистов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Обеспечение общественного участия в образовательном процессе, повышение открытости и демократизация управления образовательной организацией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обоснованных обращений обучающихся и родителей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жалоб родителей (законных представителей) обучающихся воспитанников образовательной организации, работников образовательной организации по деятельности образовательной организации. 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 xml:space="preserve">Организация своевременной актуализации сайта, соответствующего действующему законодательству 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Использование ресурса электронного документооборота во всех процедурах образовательной и управленческой деятельности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Эффективность работы по достижению результатов нового качества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Достижение результатов освоения обучающимися основной образовательной программы, в соответствии  с индивидуальными психофизическими возможностями обучающихся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освоивших основные образовательные программы; В-количество количество обучающихся; N – доля обучающихся, освоивших основные образовательные программы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 xml:space="preserve">Сохранение и повышение результатов внешней оценки качества образования (ГИА, ЕГЭ,  РСОКО и др.) 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выпускников (обучающихся), успешно прошедших итоговую аттестацию (выполнивших проверочную работу); В - количество выпускников (обучающихся); N – доля выпускников (обучающихся), успешно прошедших итоговую аттестацию (выполнивших проверочную работу)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Проведение системной работы по сохранению здоровья и социализации обучающихся, в том числе с ограниченными возможностями здоровья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да/нет, наличие отчетной документации;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охваченных всеми видами работ по сохранению здоровья  и социализации; В - количество обучающихся; N – доля обучающихся, охваченных всеми видами работ по сохранению здоровья  и социализации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Позитивные результаты образовательной деятельности по подготовке победителей и призеров конкурсных мероприятий интеллектуальной направленности различного уровня, в том числе детей с ограниченными возможностями здоровья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победителей и призеров, подготовленных педагогом; В - количество приявших участие; N – доля победителей и призеров, подготовленных педагогом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Использование различных форм и технологий профориентационной работы и профильного обучения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да/нет, наличие отчетной документации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 xml:space="preserve">Результативность обучающихся при прохождении индивидуальных образовательных маршрутов 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имеющих позитивные результаты прохождения маршрутов; В - количество обучающихся по индивидуальным маршрутам; N – доля обучающихся, имеющих позитивные результаты прохождения маршрутов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Эффективность воспитательной системы образовательной организации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досуговой, внеурочной занятости обучающихся, в том числе по предмету, включая каникулярный период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охваченных всеми видами досуговой занятости, в том числе по предмету; В - количество обучающихся; N – доля обучающихся, охваченных всеми видами досуговой занятости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участия обучающихся и родителей в различных  мероприятиях, организованных с участием других ведомств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родителей и обучающихся посетивших мероприятия с участием представителей ведомств; В-количество детей и родителей; N-доля обучающихся, охваченных различными формами межведомственного взаимодействия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Вовлечение обучающихся в  различные формы добровольческой деятельности, общественного движения и самоуправления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вовлеченных в мероприятия социально-значимой деятельности; В - количество обучающихся; N -доля обучающихся, охваченных социально-значимой деятельностью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профилактической работы с обучающимися (отсутствие/снижение количества преступлений (правонарушений) среди обучающихся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или  снижение правонарушений и преступлений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Участие в комплексном психолого-педагогическом сопровождении обучающихся в части вопросов, касающихся успешности развития и благополучия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эмоционально стабильных и находящихся в состоянии благополучия; В - количество обучающихся; N – доля обучающихся, эмоционально стабильных и находящихся в состоянии благополучия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и проведение мероприятий, обеспечивающих активное взаимодействие с родителями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мероприятий организованных и проведенных с участием родителей; В - количество мероприятий, предусматривающих привлечение родителей; N – доля мероприятий организованных и проведенных с участием родителей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Охват обучающихся мероприятиями  здоровьесберегающей направленности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охваченных мероприятиями по программам сохранения и укрепления здоровья; В-количество обучающихся; N-доля обучающихся, охваченных мероприятиями по программам сохранения и укрепления здоровья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Охват обучающихся 2-х разовым горячим питанием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охваченных 2-х разовым питанием; В-количество обучающихся; N-доля обучающихся, охваченных 2-х разовым питанием; Позитивная динамика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Реализация мероприятий физкультурно-оздоровительной и спортивной направленности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охваченных физкультурно-оздоровительными и спортивными мероприятиями; В - количество обучающихся; N - доля обучающихся, охваченных  физкультурно-оздоровительными и спортивными мероприятиями</w:t>
            </w:r>
          </w:p>
        </w:tc>
      </w:tr>
      <w:tr>
        <w:trPr/>
        <w:tc>
          <w:tcPr>
            <w:tcW w:w="25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  <w:t>Педагог-психолог</w:t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Повышение профессионального мастерства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Разработка и реализация индивидуального образовательного маршрута, направленного на повышение профессионального роста в рамках утверждённых форматов повышения квалификации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да/нет, наличие отчетной документации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Соблюдение норм профессиональной этики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Работа с педагогами по обеспечению комфортного психологического климата в коллективе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Сопровождение молодых специалистов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Обеспечение общественного участия в образовательном процессе, повышение открытости и демократизация управленияобразовательной организацией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обоснованных обращений обучающихся и родителей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жалоб родителей (законных представителей) обучающихся воспитанников образовательной организации, работников образовательной организации по деятельности образовательной организации. 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Эффективность работы по достижению результатов нового качества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Проведение системной работы по сохранению здоровья и социализации обучающихся, в том числе с ограниченными возможностями здоровья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да/нет, наличие отчетной документации;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охваченных всеми видами работ по сохранению здоровья и социализации; В - количество обучающихся; N – доля обучающихся, охваченных всеми видами работ по сохранению здоровья  и социализации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 xml:space="preserve">Сопровождение обучающихся при прохождении индивидуальных образовательных маршрутов 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имеющих позитивные результаты прохождения маршрутов; В - количество обучающихся по индивидуальным маршрутам; N – доля обучающихся, имеющих позитивные результаты прохождения маршрутов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3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Эффективность воспитательной системы образовательной организации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участия обучающихся и родителей в различных мероприятиях, организованных с участием других ведомств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родителей и обучающихся посетивших мероприятия с участием представителей ведомств; В-количество детей и родителей; N-доля обучающихся, охваченных различными формами межведомственного взаимодействия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профилактической работы с обучающимися (отсутствие/снижение количества преступлений (правонарушений) среди обучающихся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или снижение правонарушений и преступлений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Участие в комплексном психолого-педагогическом сопровождении обучающихся в части вопросов, касающихся успешности развития и благополучия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эмоционально стабильных и находящихся в состоянии благополучия; В - количество обучающихся; N – доля обучающихся, эмоционально стабильных и находящихся в состоянии благополучия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и проведение просветительской деятельности (консультации, лаборатории, семинары-практикумы и др.)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просветительских мероприятий с педагогами и родителями; В - количество мероприятий, предусматривающих просветительскую деятельность; N – доля просветительских мероприятий с педагогами и родителями</w:t>
            </w:r>
          </w:p>
        </w:tc>
      </w:tr>
      <w:tr>
        <w:trPr>
          <w:trHeight w:val="1890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Обеспечение квалифицированной помощи педагогам в оказании поддержки и развитии каждого ребенка в соответствии с индивидуальными возможностями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педагогов, получивших квалифицированную помощь по поддержке и развитию каждого ребенка; В-количество педагогов; N-доля педагогов, получивших квалифицированную помощь по поддержке и развитию каждого ребенка</w:t>
            </w:r>
          </w:p>
        </w:tc>
      </w:tr>
      <w:tr>
        <w:trPr>
          <w:trHeight w:val="234" w:hRule="atLeast"/>
        </w:trPr>
        <w:tc>
          <w:tcPr>
            <w:tcW w:w="25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Учитель-логопед</w:t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ind w:left="175" w:hanging="0"/>
              <w:jc w:val="both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Эффективность работы по достижению результатов нового качества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Позитивная динамика показателей речевого развития детей 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да/нет, наличие отчетной документации;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N = A/B*100%, где А-численность воспитанников, охваченных всеми видами речевой коррекции; В - численность воспитанников ДОУ; N – доля воспитанников, охваченных всеми видами речевой коррекции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Проведение системной работы по сохранению здоровья и социализации воспитанников, в том числе с ограниченными возможностями здоровья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да/нет, наличие отчетной документации;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N = A/B*100%, где А-численность воспитанников, охваченных всеми видами работ по сохранению здоровья и социализации; В - численность воспитанников ДОУ; N – доля воспитанников, охваченных всеми видами работ по сохранению здоровья  и социализации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Сопровождение воспитанников в процессе индивидуального образования 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N = A/B*100%, где А-численность воспитанников, имеющих  положительную динамику показателей речевого развития; В - численность воспитанников; N – доля воспитанников, имеющих положительную динамику показателей речевого развития 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Позитивные результаты образовательной деятельности по подготовке победителей и призёров конкурсных мероприятий  интеллектуальной направленности различного уровня, в том числе детей с ограниченными возможностями здоровья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N = A/B*100%, где А- численность воспитанников, результативно участвующих в конкурсных мероприятиях; В - численность воспитанников ДОУ; N – доля воспитанников, результативно участвующих в конкурсных мероприятиях</w:t>
            </w:r>
          </w:p>
        </w:tc>
      </w:tr>
      <w:tr>
        <w:trPr>
          <w:trHeight w:val="234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Развитие материально-технической базы и создание комфортных условий для участников образовательного процесса (педагогов, воспитанников, родителей)</w:t>
            </w:r>
          </w:p>
        </w:tc>
      </w:tr>
      <w:tr>
        <w:trPr>
          <w:trHeight w:val="234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Эффективное использование современного оборудования и пособий для выполнения образовательных программ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234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Обеспечение общественного участия в образовательном процессе, повышение открытости и демократизация управления образовательной организацией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Отсутствие обоснованных обращений родителей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Отсутствие жалоб родителей (законных представителей) воспитанников образовательной организации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Эффективность воспитательной системы дошкольного образовательной организации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Участие в комплексном психолого-педагогическом сопровождении воспитанников в части вопросов, касающихся успешности речевого развития 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N = A/B*100%, где А- численность воспитанников, развитие речи которых соответствует возрастной норме; В - численность воспитанников; N – доля воспитанников, развитие речи которых соответствует возрастной норме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Организация и проведение мероприятий, обеспечивающих активное взаимодействие с родителями 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N = A/B*100%, где А-количество мероприятий организованных и проведенных с участием родителей; В - количество мероприятий, предусматривающих привлечение родителей; N – доля мероприятий организованных и проведенных с участием родителей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Охват воспитанников мероприятиями  здоровьесберегающей направленности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N = A/B*100%, где А-численность воспитанников, охваченных мероприятиями по программам сохранения и укрепления здоровья; В-численность воспитанников; N-доля воспитанников, охваченных мероприятиями по программам сохранения и укрепления здоровья</w:t>
            </w:r>
          </w:p>
        </w:tc>
      </w:tr>
      <w:tr>
        <w:trPr>
          <w:trHeight w:val="234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Повышение профессионального мастерства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Разработка и реализация индивидуального образовательного маршрута, направленного на повышение профессионального роста в рамках утверждённых форматов повышения квалификации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да/нет, наличие отчетной документации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Соблюдение норм профессиональной этики</w:t>
            </w:r>
          </w:p>
        </w:tc>
        <w:tc>
          <w:tcPr>
            <w:tcW w:w="39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234" w:hRule="atLeast"/>
        </w:trPr>
        <w:tc>
          <w:tcPr>
            <w:tcW w:w="25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  <w:t>Социальный педагог</w:t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Повышение профессионального мастерства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Разработка и реализация индивидуального образовательного маршрута, направленного на повышение профессионального роста в рамках утверждённых форматов повышения квалификации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да/нет, наличие отчетной документации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Соблюдение норм профессиональной этики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Обеспечение общественного участия в образовательном процессе, повышение открытости и демократизация управления образовательной организации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обоснованных обращений обучающихся и родителей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жалоб родителей (законных представителей) обучающихся воспитанников образовательной организации, работников образовательной организации по деятельности образовательной организации. 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Эффективность работы по достижению результатов нового качества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обучающихся, выбывших  из образовательной организации и не продолжающих обучение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 выбывших из ОУ и не продолжающих обучение; В - количество обучающихся; N – доля обучающихся выбывших из ОУ и не продолжающих обучение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Проведение системной работы по сохранению здоровья и социализации обучающихся, в том числе с ограниченными возможностями здоровья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да/нет, наличие отчетной документации;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охваченных всеми видами работ по сохранению здоровья  и социализации; В - количество обучающихся; N – доля обучающихся, охваченных всеми видами работ по сохранению здоровья  и социализации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4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Эффективность воспитательной системы образовательной организации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внеурочной и досуговой деятельности (трудоустройство), в том числе в каникулярное время, обучающихся (воспитанников), находящихся в трудной жизненной ситуации и/или состоящих на различных видах учёта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охваченных всеми видами досуговой занятости, в том числе трудоустройство; В - обучающихся (воспитанников), находящихся в трудной жизненной ситуации и/или состоящих на различных видах учёта; N – доля обучающихся, охваченных всеми видами досуговой занятости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Обеспечение эффективного взаимодействия с органами системы профилактики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Да\нет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Вовлечение обучающихся в  различные формы добровольческой деятельности, общественного движения и самоуправления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вовлеченных в мероприятия социально-значимой деятельности; В - количество обучающихся; N -доля обучающихся, охваченных социально-значимой деятельностью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профилактической работы с обучающимися (отсутствие/снижение количества преступлений (правонарушений) среди обучающихся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или  снижение правонарушений и преступлений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Участие в комплексном психолого-педагогическом сопровождении обучающихся в части вопросов, касающихся успешности развития и благополучия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эмоционально стабильных и находящихся в состоянии благополучия; В - количество обучающихся; N – доля обучающихся, эмоционально стабильных и находящихся в состоянии благополучия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и проведение мероприятий, обеспечивающих активное взаимодействие с родителями и семьями детей группы особого внимания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мероприятий организованных и проведенных с участием родителей; В - количество мероприятий, предусматривающих привлечение родителей; N – доля мероприятий организованных и проведенных с участием родителей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Охват обучающихся мероприятиями  здоровьесберегающей направленности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N = A/B*100%, где А-количество обучающихся, охваченных мероприятиями по программам сохранения и укрепления здоровья; В-количество обучающихся; N-доля обучающихся, охваченных мероприятиями по программам сохранения и укрепления здоровья</w:t>
            </w:r>
          </w:p>
        </w:tc>
      </w:tr>
      <w:tr>
        <w:trPr/>
        <w:tc>
          <w:tcPr>
            <w:tcW w:w="25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  <w:t>Педагог-библиотекарь, библиотекарь</w:t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5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Развитие материально-технической базы образовательной организации и создание комфортных условий для участников образовательного процесса (учителей, учащихся, родителей)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Эффективное использование  современного учебно-наглядного оборудования в образовательном процессе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Создание элементов развивающей среды (оформление ОУ, кабинета, музея и т.д.)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Полноценное и качественное использование фондов школьных библиотек, в т.ч. электронных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5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Повышение профессионального мастерства педагогических работников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Разработка и реализация индивидуального образовательного маршрута, направленного на повышение профессионального роста в рамках утверждённых форматов повышения квалификации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да/нет, наличие отчетной документации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Соблюдение норм профессиональной этики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5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Обеспечение общественного участия в образовательном процессе, повышение открытости и демократизация управления образовательной организацией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обоснованных обращений обучающихся и родителей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жалоб родителей (законных представителей) обучающихся воспитанников образовательной организации, работников образовательной организации по деятельности образовательной организации. Да/нет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5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Эффективность работы по достижению результатов нового качества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Проведение системной работы по сохранению здоровья и социализации обучающихся, в том числе с ограниченными возможностями здоровья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да/нет, наличие отчетной документации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numPr>
                <w:ilvl w:val="0"/>
                <w:numId w:val="5"/>
              </w:numPr>
              <w:spacing w:lineRule="auto" w:line="240" w:before="0" w:after="0"/>
              <w:ind w:left="0" w:hanging="36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eastAsia="ru-RU"/>
              </w:rPr>
              <w:t>Эффективность воспитательной системы образовательной организации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 xml:space="preserve">Организация информационно-просветительской деятельности со всеми участниками образовательного процесса 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да/нет, наличие отчетной документации</w:t>
            </w:r>
          </w:p>
        </w:tc>
      </w:tr>
      <w:tr>
        <w:trPr/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lang w:eastAsia="ru-RU"/>
              </w:rPr>
            </w:pPr>
            <w:r>
              <w:rPr>
                <w:rFonts w:cs="Arial" w:ascii="Arial" w:hAnsi="Arial"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межведомственного взаимодействия с учреждениями культуры  с целью повышения читательской активности обучающихся, пропаганды чтения как формы культурного досуга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да/нет, наличие отчетной документации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  <w:t>Советник директора по воспитанию и взаимодействию с детскими общественными объединениями (советник)</w:t>
            </w:r>
          </w:p>
        </w:tc>
        <w:tc>
          <w:tcPr>
            <w:tcW w:w="77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lang w:eastAsia="ru-RU"/>
              </w:rPr>
              <w:t>Повышение профессионального мастерства, обеспечение общественного участия в образовательном процессе, повышение открытости и демократизация управления образовательным учреждением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Повышение профессионального мастерства. Разработка и реализация индивидуального маршрута, направленного на повышение профессионального роста в рамках утвержденных форматов повышения квалификации: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-участие в мероприятиях по повышению профессионального мастерства;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-не участие в мероприятиях по повышению профессионального мастерства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да/нет, наличие отчетной документации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Соблюдение норм профессиональной этики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  <w:t>Заведующий хозяйством</w:t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обеспечение комфортного пребывания всех участников образовательного процесса в образовательной организации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организация эффективной работы  по обеспечению общественного порядка, безопасности и антитеррористической защищенности образовательной организации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экономное и эффективное использование материальных ресурсов, в том числе энергосбережение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 xml:space="preserve">высокое качество подготовки образовательной организации к реализации образовательного процесса 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содержание пришкольной территории без замечаний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сохранение и улучшение материально-технической обеспеченности образовательного процесса, в том числе содействие в обеспечении образовательного процесса современным оборудованием в соответствие с требованиями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соблюдение норм профессиональной этики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предписаний надзорных органов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обеспечение стабильной деятельности обслуживающего персонала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  <w:t>Работники бухгалтерии</w:t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разработка положений, подготовка экономических расчетов, направленных на эффективное использование бюджетных средств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отсутствие нарушений по результатам проверок финансово-хозяйственной деятельности контролирующими органами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ежемесячное выполнение плана финансово-хозяйственной деятельности по статьям расходов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своевременная актуализация имеющихся профессиональных знаний применительно к должностным обязанностям, а также приобретение новых путем самообразования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активная разъяснительная работа с педагогическим коллективом и родительской общественностью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  <w:t>Младший обслуживающий персонал (уборщики служебных помещений, дворник, рабочий по обслуживанию зданий и др.)</w:t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проведение генеральных уборок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оперативность выполнение заявок по устранению технических неполадок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оперативность выполнение заявок по уборке мест общего пользования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  <w:tr>
        <w:trPr>
          <w:trHeight w:val="636" w:hRule="atLeast"/>
        </w:trPr>
        <w:tc>
          <w:tcPr>
            <w:tcW w:w="25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b/>
                <w:b/>
                <w:bCs/>
                <w:color w:val="000000"/>
                <w:lang w:eastAsia="ru-RU"/>
              </w:rPr>
            </w:pPr>
            <w:r>
              <w:rPr>
                <w:rFonts w:cs="Arial" w:ascii="Arial" w:hAnsi="Arial"/>
                <w:b/>
                <w:bCs/>
                <w:color w:val="000000"/>
                <w:lang w:eastAsia="ru-RU"/>
              </w:rPr>
            </w:r>
          </w:p>
        </w:tc>
        <w:tc>
          <w:tcPr>
            <w:tcW w:w="38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eastAsia="ru-RU"/>
              </w:rPr>
              <w:t>участие в подготовке и проведении общешкольных мероприятий образовательной организации</w:t>
            </w:r>
          </w:p>
        </w:tc>
        <w:tc>
          <w:tcPr>
            <w:tcW w:w="3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да/нет</w:t>
            </w:r>
          </w:p>
        </w:tc>
      </w:tr>
    </w:tbl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sz w:val="26"/>
          <w:szCs w:val="26"/>
        </w:rPr>
        <w:t>7.5. За счет стимулирующей части фонда оплаты труда образовательной организации (ФОТст) могут осуществляться стимулирующие выплаты (доплаты стимулирующего характера) работникам образовательной организации с учетом фактической аудиторной нагрузки и стоимости часа или ученико-часа по отдельным направлениям внеурочной деятельности: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>- функциональная грамотность (в 1-11 классах в объеме 1 час в неделю);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>- внеурочное занятие «Разговоры о важном» (в 1 -11 классах в объеме 1 час в неделю);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  <w:t>- внеурочное занятие в рамках профориентационного минимума «Россия – мои горизонты» (в 6 -11 классах в объеме 1 час в неделю).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67"/>
        <w:jc w:val="center"/>
        <w:rPr>
          <w:rFonts w:ascii="Arial" w:hAnsi="Arial" w:cs="Arial"/>
          <w:b/>
          <w:b/>
          <w:sz w:val="26"/>
          <w:szCs w:val="26"/>
          <w:lang w:eastAsia="ru-RU"/>
        </w:rPr>
      </w:pPr>
      <w:r>
        <w:rPr>
          <w:rFonts w:cs="Arial" w:ascii="Arial" w:hAnsi="Arial"/>
          <w:b/>
          <w:sz w:val="26"/>
          <w:szCs w:val="26"/>
          <w:lang w:eastAsia="ru-RU"/>
        </w:rPr>
        <w:t>8. Единовременные выплаты стимулирующего характера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b/>
          <w:b/>
          <w:sz w:val="26"/>
          <w:szCs w:val="26"/>
          <w:lang w:eastAsia="ru-RU"/>
        </w:rPr>
      </w:pPr>
      <w:r>
        <w:rPr>
          <w:rFonts w:cs="Arial" w:ascii="Arial" w:hAnsi="Arial"/>
          <w:b/>
          <w:sz w:val="26"/>
          <w:szCs w:val="26"/>
          <w:lang w:eastAsia="ru-RU"/>
        </w:rPr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sz w:val="26"/>
          <w:szCs w:val="26"/>
          <w:lang w:eastAsia="ru-RU"/>
        </w:rPr>
        <w:tab/>
        <w:t>8.1. Единовременные выплаты стимулирующего характера, не входящие в стимулирующую часть фонда оплаты труда образовательной организации, предоставляются работникам образовательной организации в целях создания у них мотивации к повышению качества труда в рамках реализации основных направлений модернизации системы общего образования.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sz w:val="26"/>
          <w:szCs w:val="26"/>
          <w:lang w:eastAsia="ru-RU"/>
        </w:rPr>
      </w:pPr>
      <w:r>
        <w:rPr>
          <w:rFonts w:cs="Arial" w:ascii="Arial" w:hAnsi="Arial"/>
          <w:sz w:val="26"/>
          <w:szCs w:val="26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567"/>
        <w:jc w:val="center"/>
        <w:rPr>
          <w:rFonts w:ascii="Arial" w:hAnsi="Arial" w:cs="Arial"/>
          <w:b/>
          <w:b/>
          <w:color w:val="000000"/>
          <w:sz w:val="26"/>
          <w:szCs w:val="26"/>
          <w:lang w:eastAsia="ru-RU"/>
        </w:rPr>
      </w:pPr>
      <w:r>
        <w:rPr>
          <w:rFonts w:cs="Arial" w:ascii="Arial" w:hAnsi="Arial"/>
          <w:b/>
          <w:color w:val="000000"/>
          <w:sz w:val="26"/>
          <w:szCs w:val="26"/>
          <w:lang w:eastAsia="ru-RU"/>
        </w:rPr>
        <w:t>9. Оплата труда руководителя образовательной организации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73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9.1. Размер, порядок и условия оплаты труда руководителя образовательной организации устанавливаются в трудовом договоре в соответствии с Положением об оплате труда руководителей общеобразовательных организаций, утверждаемым приказом департамента по социальным вопросам.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73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Трудовой договор с руководителем образовательной организации заключается департаментом по социальным вопросам на определенный срок, не превышающий 5 лет.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73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9.2. Система оплаты труда руководителя образовательной организации включает: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73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а) должностной оклад;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73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б) выплаты компенсационного характера;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73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в) единовременные выплаты;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737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 xml:space="preserve">г) стимулирующие выплаты и иные поощрительные выплаты за счет средств централизованного фонда, предусмотренного </w:t>
      </w:r>
      <w:hyperlink w:anchor="Par79">
        <w:r>
          <w:rPr>
            <w:rStyle w:val="Style20"/>
            <w:rFonts w:cs="Arial" w:ascii="Arial" w:hAnsi="Arial"/>
            <w:color w:val="000000"/>
            <w:sz w:val="26"/>
            <w:szCs w:val="26"/>
            <w:lang w:eastAsia="ru-RU"/>
          </w:rPr>
          <w:t>пунктом 3.1</w:t>
        </w:r>
      </w:hyperlink>
      <w:r>
        <w:rPr>
          <w:rFonts w:cs="Arial" w:ascii="Arial" w:hAnsi="Arial"/>
          <w:color w:val="000000"/>
          <w:sz w:val="26"/>
          <w:szCs w:val="26"/>
          <w:lang w:eastAsia="ru-RU"/>
        </w:rPr>
        <w:t>. настоящей Методики.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73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9.3. Размер должностного оклада руководителя образовательной организации определяется исходя из средней величины должностных окладов педагогических работников данной образовательной организации, непосредственно осуществляющих учебный процесс, и группы оплаты труда по следующей формуле: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73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ДОр = ДОср х К, где: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73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ДОр - должностной оклад руководителя образовательной организации;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73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ДОср - средняя величина должностных окладов педагогических работников данной образовательной организации, непосредственно осуществляющих учебный процесс;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73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К - коэффициент, соответствующий группе оплаты труда руководителя, установленной для образовательной организации.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73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 xml:space="preserve">9.4. Коэффициенты по группе оплаты труда устанавливаются в следующих размерах: 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1 группа – коэффициент 2,76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2 группа – коэффициент 2,56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3 группа – коэффициент 2,36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4 группа – коэффициент 2,16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  <w:t>5 группа – коэффициент 1,96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Arial" w:hAnsi="Arial" w:cs="Arial"/>
          <w:color w:val="000000"/>
          <w:sz w:val="26"/>
          <w:szCs w:val="26"/>
          <w:lang w:eastAsia="ru-RU"/>
        </w:rPr>
      </w:pPr>
      <w:r>
        <w:rPr>
          <w:rFonts w:cs="Arial" w:ascii="Arial" w:hAnsi="Arial"/>
          <w:color w:val="000000"/>
          <w:sz w:val="26"/>
          <w:szCs w:val="26"/>
          <w:lang w:eastAsia="ru-RU"/>
        </w:rPr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737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>9.5. Отнесение образовательных организаций к группам по оплате труда руководителей осуществляется в зависимости от показателей, обуславливающих объем и сложность труда руководителя образовательной организации (количество обучающихся; качественный состав педагогических работников по квалификационным категориям; наличие детей с ограниченными возможностями здоровья; организация дистанционного обучения; необходимость организации подвоза обучающихся; наличие филиалов, отделений дошкольного образования, структурных подразделений; наличие логопедических пунктов; наличие статуса «сетевая школа», «учебно-консультационный пункт»; наличие инновационной площадки по внедрению ФГОС, наличие инновационных проектов, стажировочных площадок) в соответствии с Положением об оплате труда руководителей общеобразовательных организаций, утверждаемым приказом департамента по социальным вопросам.</w:t>
      </w:r>
    </w:p>
    <w:p>
      <w:pPr>
        <w:pStyle w:val="Normal"/>
        <w:widowControl w:val="false"/>
        <w:bidi w:val="0"/>
        <w:spacing w:lineRule="auto" w:line="240" w:before="0" w:after="0"/>
        <w:ind w:left="0" w:right="0" w:firstLine="680"/>
        <w:jc w:val="both"/>
        <w:rPr/>
      </w:pPr>
      <w:r>
        <w:rPr>
          <w:rFonts w:cs="Arial" w:ascii="Arial" w:hAnsi="Arial"/>
          <w:color w:val="000000"/>
          <w:sz w:val="26"/>
          <w:szCs w:val="26"/>
          <w:lang w:eastAsia="ru-RU"/>
        </w:rPr>
        <w:t>9.6. В случае изменения размера должностного оклада руководителя образовательной организации вследствие изменения средней величины должностных окладов педагогических работников данной образовательной организации, непосредственно осуществляющих учебный процесс, и (или) группы оплаты труда, установленной для образовательной организации, с ним заключается дополнительное соглашение к трудовому договору, предусматривающее соответствующее изменение размера должностного оклада руководителя.</w:t>
      </w:r>
    </w:p>
    <w:sectPr>
      <w:footerReference w:type="default" r:id="rId3"/>
      <w:type w:val="nextPage"/>
      <w:pgSz w:w="11906" w:h="16838"/>
      <w:pgMar w:left="1418" w:right="851" w:header="0" w:top="567" w:footer="12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1"/>
      <w:jc w:val="cen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sz w:val="20"/>
        <w:b/>
        <w:szCs w:val="20"/>
        <w:bCs/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sz w:val="20"/>
        <w:b/>
        <w:szCs w:val="20"/>
        <w:bCs/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ind w:left="795" w:hanging="43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72" w:hanging="720"/>
      </w:pPr>
    </w:lvl>
    <w:lvl w:ilvl="2">
      <w:start w:val="1"/>
      <w:numFmt w:val="decimal"/>
      <w:lvlText w:val="%1.%2.%3."/>
      <w:lvlJc w:val="left"/>
      <w:pPr>
        <w:ind w:left="1932" w:hanging="1080"/>
      </w:pPr>
    </w:lvl>
    <w:lvl w:ilvl="3">
      <w:start w:val="1"/>
      <w:numFmt w:val="decimal"/>
      <w:lvlText w:val="%1.%2.%3.%4."/>
      <w:lvlJc w:val="left"/>
      <w:pPr>
        <w:ind w:left="1800" w:hanging="1440"/>
      </w:pPr>
    </w:lvl>
    <w:lvl w:ilvl="4">
      <w:start w:val="1"/>
      <w:numFmt w:val="decimal"/>
      <w:lvlText w:val="%1.%2.%3.%4.%5."/>
      <w:lvlJc w:val="left"/>
      <w:pPr>
        <w:ind w:left="1800" w:hanging="1440"/>
      </w:pPr>
    </w:lvl>
    <w:lvl w:ilvl="5">
      <w:start w:val="1"/>
      <w:numFmt w:val="decimal"/>
      <w:lvlText w:val="%1.%2.%3.%4.%5.%6."/>
      <w:lvlJc w:val="left"/>
      <w:pPr>
        <w:ind w:left="2160" w:hanging="1800"/>
      </w:pPr>
    </w:lvl>
    <w:lvl w:ilvl="6">
      <w:start w:val="1"/>
      <w:numFmt w:val="decimal"/>
      <w:lvlText w:val="%1.%2.%3.%4.%5.%6.%7."/>
      <w:lvlJc w:val="left"/>
      <w:pPr>
        <w:ind w:left="2520" w:hanging="2160"/>
      </w:pPr>
    </w:lvl>
    <w:lvl w:ilvl="7">
      <w:start w:val="1"/>
      <w:numFmt w:val="decimal"/>
      <w:lvlText w:val="%1.%2.%3.%4.%5.%6.%7.%8."/>
      <w:lvlJc w:val="left"/>
      <w:pPr>
        <w:ind w:left="2880" w:hanging="2520"/>
      </w:pPr>
    </w:lvl>
    <w:lvl w:ilvl="8">
      <w:start w:val="1"/>
      <w:numFmt w:val="decimal"/>
      <w:lvlText w:val="%1.%2.%3.%4.%5.%6.%7.%8.%9."/>
      <w:lvlJc w:val="left"/>
      <w:pPr>
        <w:ind w:left="3240" w:hanging="2880"/>
      </w:pPr>
    </w:lvl>
  </w:abstractNum>
  <w:abstractNum w:abstractNumId="8">
    <w:lvl w:ilvl="0">
      <w:start w:val="6"/>
      <w:numFmt w:val="decimal"/>
      <w:lvlText w:val="%1."/>
      <w:lvlJc w:val="left"/>
      <w:pPr>
        <w:tabs>
          <w:tab w:val="num" w:pos="-360"/>
        </w:tabs>
        <w:ind w:left="225" w:hanging="585"/>
      </w:pPr>
    </w:lvl>
    <w:lvl w:ilvl="1">
      <w:start w:val="5"/>
      <w:numFmt w:val="decimal"/>
      <w:lvlText w:val="%1.%2."/>
      <w:lvlJc w:val="left"/>
      <w:pPr>
        <w:tabs>
          <w:tab w:val="num" w:pos="-36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2880" w:hanging="1080"/>
      </w:pPr>
    </w:lvl>
    <w:lvl w:ilvl="3">
      <w:start w:val="1"/>
      <w:numFmt w:val="decimal"/>
      <w:lvlText w:val="%1.%2.%3.%4."/>
      <w:lvlJc w:val="left"/>
      <w:pPr>
        <w:tabs>
          <w:tab w:val="num" w:pos="-360"/>
        </w:tabs>
        <w:ind w:left="4320" w:hanging="1440"/>
      </w:p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5400" w:hanging="1440"/>
      </w:p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6840" w:hanging="1800"/>
      </w:pPr>
    </w:lvl>
    <w:lvl w:ilvl="6">
      <w:start w:val="1"/>
      <w:numFmt w:val="decimal"/>
      <w:lvlText w:val="%1.%2.%3.%4.%5.%6.%7."/>
      <w:lvlJc w:val="left"/>
      <w:pPr>
        <w:tabs>
          <w:tab w:val="num" w:pos="-360"/>
        </w:tabs>
        <w:ind w:left="8280" w:hanging="2160"/>
      </w:pPr>
    </w:lvl>
    <w:lvl w:ilvl="7">
      <w:start w:val="1"/>
      <w:numFmt w:val="decimal"/>
      <w:lvlText w:val="%1.%2.%3.%4.%5.%6.%7.%8."/>
      <w:lvlJc w:val="left"/>
      <w:pPr>
        <w:tabs>
          <w:tab w:val="num" w:pos="-360"/>
        </w:tabs>
        <w:ind w:left="9720" w:hanging="2520"/>
      </w:pPr>
    </w:lvl>
    <w:lvl w:ilvl="8">
      <w:start w:val="1"/>
      <w:numFmt w:val="decimal"/>
      <w:lvlText w:val="%1.%2.%3.%4.%5.%6.%7.%8.%9."/>
      <w:lvlJc w:val="left"/>
      <w:pPr>
        <w:tabs>
          <w:tab w:val="num" w:pos="-360"/>
        </w:tabs>
        <w:ind w:left="11160" w:hanging="2880"/>
      </w:pPr>
    </w:lvl>
  </w:abstractNum>
  <w:abstractNum w:abstractNumId="9">
    <w:lvl w:ilvl="0">
      <w:start w:val="5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4276" w:hanging="144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10">
    <w:lvl w:ilvl="0">
      <w:start w:val="3"/>
      <w:numFmt w:val="decimal"/>
      <w:lvlText w:val="%1."/>
      <w:lvlJc w:val="left"/>
      <w:pPr>
        <w:ind w:left="630" w:hanging="630"/>
      </w:pPr>
      <w:rPr>
        <w:sz w:val="26"/>
        <w:b/>
        <w:rFonts w:ascii="Arial" w:hAnsi="Arial"/>
      </w:rPr>
    </w:lvl>
    <w:lvl w:ilvl="1">
      <w:start w:val="6"/>
      <w:numFmt w:val="decimal"/>
      <w:lvlText w:val="%1.%2."/>
      <w:lvlJc w:val="left"/>
      <w:pPr>
        <w:ind w:left="1003" w:hanging="720"/>
      </w:pPr>
      <w:rPr>
        <w:sz w:val="26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sz w:val="26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sz w:val="26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sz w:val="26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sz w:val="26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sz w:val="26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sz w:val="26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sz w:val="26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footnote text" w:locked="1" w:uiPriority="0" w:semiHidden="0" w:unhideWhenUsed="0"/>
    <w:lsdException w:name="caption" w:locked="1" w:uiPriority="0" w:qFormat="1"/>
    <w:lsdException w:name="footnote reference" w:locked="1" w:uiPriority="0" w:semiHidden="0" w:unhideWhenUsed="0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b24a5"/>
    <w:pPr>
      <w:widowControl/>
      <w:bidi w:val="0"/>
      <w:spacing w:lineRule="auto" w:line="276" w:before="0" w:after="200"/>
      <w:jc w:val="left"/>
    </w:pPr>
    <w:rPr>
      <w:rFonts w:cs="Calibri" w:ascii="Calibri" w:hAnsi="Calibri" w:eastAsia="Calibri"/>
      <w:color w:val="00000A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locked/>
    <w:rsid w:val="002b24a5"/>
    <w:rPr/>
  </w:style>
  <w:style w:type="character" w:styleId="Style15" w:customStyle="1">
    <w:name w:val="Нижний колонтитул Знак"/>
    <w:basedOn w:val="DefaultParagraphFont"/>
    <w:uiPriority w:val="99"/>
    <w:qFormat/>
    <w:locked/>
    <w:rsid w:val="002b24a5"/>
    <w:rPr/>
  </w:style>
  <w:style w:type="character" w:styleId="2" w:customStyle="1">
    <w:name w:val="Основной текст (2)_"/>
    <w:uiPriority w:val="99"/>
    <w:qFormat/>
    <w:rsid w:val="002b24a5"/>
    <w:rPr>
      <w:rFonts w:ascii="Arial" w:hAnsi="Arial" w:cs="Arial"/>
      <w:i/>
      <w:iCs/>
      <w:spacing w:val="8"/>
      <w:sz w:val="23"/>
      <w:szCs w:val="23"/>
      <w:u w:val="none"/>
    </w:rPr>
  </w:style>
  <w:style w:type="character" w:styleId="21" w:customStyle="1">
    <w:name w:val="Основной текст (2)"/>
    <w:uiPriority w:val="99"/>
    <w:qFormat/>
    <w:locked/>
    <w:rsid w:val="002b24a5"/>
    <w:rPr>
      <w:rFonts w:ascii="Arial" w:hAnsi="Arial" w:cs="Arial"/>
      <w:i/>
      <w:iCs/>
      <w:color w:val="000000"/>
      <w:spacing w:val="8"/>
      <w:w w:val="100"/>
      <w:sz w:val="23"/>
      <w:szCs w:val="23"/>
      <w:u w:val="single"/>
      <w:lang w:val="ru-RU"/>
    </w:rPr>
  </w:style>
  <w:style w:type="character" w:styleId="Style16" w:customStyle="1">
    <w:name w:val="Основной текст_"/>
    <w:uiPriority w:val="99"/>
    <w:qFormat/>
    <w:locked/>
    <w:rsid w:val="002b24a5"/>
    <w:rPr>
      <w:rFonts w:ascii="Arial" w:hAnsi="Arial" w:cs="Arial"/>
      <w:spacing w:val="5"/>
      <w:sz w:val="23"/>
      <w:szCs w:val="23"/>
      <w:shd w:fill="FFFFFF" w:val="clear"/>
    </w:rPr>
  </w:style>
  <w:style w:type="character" w:styleId="3pt" w:customStyle="1">
    <w:name w:val="Основной текст + Интервал 3 pt"/>
    <w:uiPriority w:val="99"/>
    <w:qFormat/>
    <w:rsid w:val="002b24a5"/>
    <w:rPr>
      <w:rFonts w:ascii="Arial" w:hAnsi="Arial" w:cs="Arial"/>
      <w:color w:val="000000"/>
      <w:spacing w:val="72"/>
      <w:w w:val="100"/>
      <w:sz w:val="23"/>
      <w:szCs w:val="23"/>
      <w:shd w:fill="FFFFFF" w:val="clear"/>
      <w:lang w:val="ru-RU"/>
    </w:rPr>
  </w:style>
  <w:style w:type="character" w:styleId="Style17" w:customStyle="1">
    <w:name w:val="Текст сноски Знак"/>
    <w:uiPriority w:val="99"/>
    <w:qFormat/>
    <w:locked/>
    <w:rsid w:val="002b24a5"/>
    <w:rPr>
      <w:sz w:val="20"/>
      <w:szCs w:val="20"/>
    </w:rPr>
  </w:style>
  <w:style w:type="character" w:styleId="Footnotereference">
    <w:name w:val="footnote reference"/>
    <w:uiPriority w:val="99"/>
    <w:semiHidden/>
    <w:qFormat/>
    <w:rsid w:val="002b24a5"/>
    <w:rPr>
      <w:vertAlign w:val="superscript"/>
    </w:rPr>
  </w:style>
  <w:style w:type="character" w:styleId="22" w:customStyle="1">
    <w:name w:val="Сноска (2) + Не курсив"/>
    <w:uiPriority w:val="99"/>
    <w:qFormat/>
    <w:rsid w:val="002b24a5"/>
    <w:rPr>
      <w:rFonts w:ascii="Arial" w:hAnsi="Arial" w:cs="Arial"/>
      <w:i/>
      <w:iCs/>
      <w:color w:val="000000"/>
      <w:spacing w:val="4"/>
      <w:w w:val="100"/>
      <w:sz w:val="17"/>
      <w:szCs w:val="17"/>
      <w:u w:val="none"/>
      <w:lang w:val="ru-RU"/>
    </w:rPr>
  </w:style>
  <w:style w:type="character" w:styleId="23" w:customStyle="1">
    <w:name w:val="Сноска (2)"/>
    <w:uiPriority w:val="99"/>
    <w:qFormat/>
    <w:rsid w:val="002b24a5"/>
    <w:rPr>
      <w:rFonts w:ascii="Arial" w:hAnsi="Arial" w:cs="Arial"/>
      <w:i/>
      <w:iCs/>
      <w:color w:val="000000"/>
      <w:spacing w:val="6"/>
      <w:w w:val="100"/>
      <w:sz w:val="17"/>
      <w:szCs w:val="17"/>
      <w:u w:val="single"/>
      <w:lang w:val="ru-RU"/>
    </w:rPr>
  </w:style>
  <w:style w:type="character" w:styleId="Style18" w:customStyle="1">
    <w:name w:val="Сноска_"/>
    <w:uiPriority w:val="99"/>
    <w:qFormat/>
    <w:locked/>
    <w:rsid w:val="002b24a5"/>
    <w:rPr>
      <w:rFonts w:ascii="Arial" w:hAnsi="Arial" w:cs="Arial"/>
      <w:spacing w:val="4"/>
      <w:sz w:val="17"/>
      <w:szCs w:val="17"/>
      <w:shd w:fill="FFFFFF" w:val="clear"/>
    </w:rPr>
  </w:style>
  <w:style w:type="character" w:styleId="3" w:customStyle="1">
    <w:name w:val="Основной текст (3)_"/>
    <w:link w:val="30"/>
    <w:uiPriority w:val="99"/>
    <w:qFormat/>
    <w:locked/>
    <w:rsid w:val="002b24a5"/>
    <w:rPr>
      <w:rFonts w:ascii="Arial" w:hAnsi="Arial" w:cs="Arial"/>
      <w:spacing w:val="7"/>
      <w:sz w:val="23"/>
      <w:szCs w:val="23"/>
      <w:shd w:fill="FFFFFF" w:val="clear"/>
    </w:rPr>
  </w:style>
  <w:style w:type="character" w:styleId="11pt" w:customStyle="1">
    <w:name w:val="Основной текст + 11 pt"/>
    <w:uiPriority w:val="99"/>
    <w:qFormat/>
    <w:rsid w:val="002b24a5"/>
    <w:rPr>
      <w:rFonts w:ascii="Arial" w:hAnsi="Arial" w:cs="Arial"/>
      <w:color w:val="000000"/>
      <w:spacing w:val="6"/>
      <w:w w:val="100"/>
      <w:sz w:val="22"/>
      <w:szCs w:val="22"/>
      <w:shd w:fill="FFFFFF" w:val="clear"/>
      <w:lang w:val="ru-RU"/>
    </w:rPr>
  </w:style>
  <w:style w:type="character" w:styleId="Style19" w:customStyle="1">
    <w:name w:val="Текст концевой сноски Знак"/>
    <w:uiPriority w:val="99"/>
    <w:semiHidden/>
    <w:qFormat/>
    <w:locked/>
    <w:rsid w:val="002b24a5"/>
    <w:rPr>
      <w:sz w:val="20"/>
      <w:szCs w:val="20"/>
    </w:rPr>
  </w:style>
  <w:style w:type="character" w:styleId="EndnoteTextChar1" w:customStyle="1">
    <w:name w:val="Endnote Text Char1"/>
    <w:uiPriority w:val="99"/>
    <w:semiHidden/>
    <w:qFormat/>
    <w:rsid w:val="002b24a5"/>
    <w:rPr>
      <w:sz w:val="20"/>
      <w:szCs w:val="20"/>
      <w:lang w:eastAsia="en-US"/>
    </w:rPr>
  </w:style>
  <w:style w:type="character" w:styleId="Style20" w:customStyle="1">
    <w:name w:val="Интернет-ссылка"/>
    <w:uiPriority w:val="99"/>
    <w:rsid w:val="002b24a5"/>
    <w:rPr>
      <w:color w:val="0000FF"/>
      <w:u w:val="single"/>
    </w:rPr>
  </w:style>
  <w:style w:type="character" w:styleId="Style21" w:customStyle="1">
    <w:name w:val="Текст выноски Знак"/>
    <w:uiPriority w:val="99"/>
    <w:semiHidden/>
    <w:qFormat/>
    <w:locked/>
    <w:rsid w:val="002b24a5"/>
    <w:rPr>
      <w:rFonts w:ascii="Arial" w:hAnsi="Arial" w:cs="Arial"/>
      <w:sz w:val="16"/>
      <w:szCs w:val="16"/>
    </w:rPr>
  </w:style>
  <w:style w:type="character" w:styleId="Endnotereference">
    <w:name w:val="endnote reference"/>
    <w:uiPriority w:val="99"/>
    <w:semiHidden/>
    <w:qFormat/>
    <w:rsid w:val="002b24a5"/>
    <w:rPr>
      <w:vertAlign w:val="superscript"/>
    </w:rPr>
  </w:style>
  <w:style w:type="character" w:styleId="ListLabel1" w:customStyle="1">
    <w:name w:val="ListLabel 1"/>
    <w:uiPriority w:val="99"/>
    <w:qFormat/>
    <w:rsid w:val="009363d1"/>
    <w:rPr/>
  </w:style>
  <w:style w:type="character" w:styleId="ListLabel2" w:customStyle="1">
    <w:name w:val="ListLabel 2"/>
    <w:uiPriority w:val="99"/>
    <w:qFormat/>
    <w:rsid w:val="009363d1"/>
    <w:rPr/>
  </w:style>
  <w:style w:type="character" w:styleId="ListLabel3" w:customStyle="1">
    <w:name w:val="ListLabel 3"/>
    <w:uiPriority w:val="99"/>
    <w:qFormat/>
    <w:rsid w:val="009363d1"/>
    <w:rPr/>
  </w:style>
  <w:style w:type="character" w:styleId="ListLabel4" w:customStyle="1">
    <w:name w:val="ListLabel 4"/>
    <w:uiPriority w:val="99"/>
    <w:qFormat/>
    <w:rsid w:val="009363d1"/>
    <w:rPr/>
  </w:style>
  <w:style w:type="character" w:styleId="ListLabel5" w:customStyle="1">
    <w:name w:val="ListLabel 5"/>
    <w:uiPriority w:val="99"/>
    <w:qFormat/>
    <w:rsid w:val="009363d1"/>
    <w:rPr/>
  </w:style>
  <w:style w:type="character" w:styleId="ListLabel6" w:customStyle="1">
    <w:name w:val="ListLabel 6"/>
    <w:uiPriority w:val="99"/>
    <w:qFormat/>
    <w:rsid w:val="009363d1"/>
    <w:rPr/>
  </w:style>
  <w:style w:type="character" w:styleId="ListLabel7" w:customStyle="1">
    <w:name w:val="ListLabel 7"/>
    <w:uiPriority w:val="99"/>
    <w:qFormat/>
    <w:rsid w:val="009363d1"/>
    <w:rPr/>
  </w:style>
  <w:style w:type="character" w:styleId="ListLabel8" w:customStyle="1">
    <w:name w:val="ListLabel 8"/>
    <w:uiPriority w:val="99"/>
    <w:qFormat/>
    <w:rsid w:val="009363d1"/>
    <w:rPr/>
  </w:style>
  <w:style w:type="character" w:styleId="ListLabel9" w:customStyle="1">
    <w:name w:val="ListLabel 9"/>
    <w:uiPriority w:val="99"/>
    <w:qFormat/>
    <w:rsid w:val="009363d1"/>
    <w:rPr/>
  </w:style>
  <w:style w:type="character" w:styleId="ListLabel10" w:customStyle="1">
    <w:name w:val="ListLabel 10"/>
    <w:uiPriority w:val="99"/>
    <w:qFormat/>
    <w:rsid w:val="009363d1"/>
    <w:rPr>
      <w:rFonts w:ascii="Arial" w:hAnsi="Arial" w:cs="Arial"/>
      <w:b/>
      <w:bCs/>
      <w:sz w:val="20"/>
      <w:szCs w:val="20"/>
    </w:rPr>
  </w:style>
  <w:style w:type="character" w:styleId="ListLabel11" w:customStyle="1">
    <w:name w:val="ListLabel 11"/>
    <w:uiPriority w:val="99"/>
    <w:qFormat/>
    <w:rsid w:val="009363d1"/>
    <w:rPr>
      <w:rFonts w:ascii="Arial" w:hAnsi="Arial" w:cs="Arial"/>
      <w:b/>
      <w:bCs/>
      <w:sz w:val="20"/>
      <w:szCs w:val="20"/>
    </w:rPr>
  </w:style>
  <w:style w:type="character" w:styleId="ListLabel12" w:customStyle="1">
    <w:name w:val="ListLabel 12"/>
    <w:uiPriority w:val="99"/>
    <w:qFormat/>
    <w:rsid w:val="009363d1"/>
    <w:rPr>
      <w:color w:val="000000"/>
    </w:rPr>
  </w:style>
  <w:style w:type="character" w:styleId="ListLabel13" w:customStyle="1">
    <w:name w:val="ListLabel 13"/>
    <w:uiPriority w:val="99"/>
    <w:qFormat/>
    <w:rsid w:val="009363d1"/>
    <w:rPr>
      <w:color w:val="000000"/>
    </w:rPr>
  </w:style>
  <w:style w:type="character" w:styleId="ListLabel14" w:customStyle="1">
    <w:name w:val="ListLabel 14"/>
    <w:uiPriority w:val="99"/>
    <w:qFormat/>
    <w:rsid w:val="009363d1"/>
    <w:rPr>
      <w:color w:val="000000"/>
    </w:rPr>
  </w:style>
  <w:style w:type="character" w:styleId="ListLabel15" w:customStyle="1">
    <w:name w:val="ListLabel 15"/>
    <w:uiPriority w:val="99"/>
    <w:qFormat/>
    <w:rsid w:val="009363d1"/>
    <w:rPr>
      <w:color w:val="000000"/>
    </w:rPr>
  </w:style>
  <w:style w:type="character" w:styleId="ListLabel16" w:customStyle="1">
    <w:name w:val="ListLabel 16"/>
    <w:uiPriority w:val="99"/>
    <w:qFormat/>
    <w:rsid w:val="009363d1"/>
    <w:rPr>
      <w:color w:val="000000"/>
    </w:rPr>
  </w:style>
  <w:style w:type="character" w:styleId="ListLabel17" w:customStyle="1">
    <w:name w:val="ListLabel 17"/>
    <w:uiPriority w:val="99"/>
    <w:qFormat/>
    <w:rsid w:val="009363d1"/>
    <w:rPr>
      <w:color w:val="000000"/>
    </w:rPr>
  </w:style>
  <w:style w:type="character" w:styleId="ListLabel18" w:customStyle="1">
    <w:name w:val="ListLabel 18"/>
    <w:uiPriority w:val="99"/>
    <w:qFormat/>
    <w:rsid w:val="009363d1"/>
    <w:rPr>
      <w:color w:val="000000"/>
    </w:rPr>
  </w:style>
  <w:style w:type="character" w:styleId="ListLabel19" w:customStyle="1">
    <w:name w:val="ListLabel 19"/>
    <w:uiPriority w:val="99"/>
    <w:qFormat/>
    <w:rsid w:val="009363d1"/>
    <w:rPr>
      <w:color w:val="000000"/>
    </w:rPr>
  </w:style>
  <w:style w:type="character" w:styleId="ListLabel20" w:customStyle="1">
    <w:name w:val="ListLabel 20"/>
    <w:uiPriority w:val="99"/>
    <w:qFormat/>
    <w:rsid w:val="009363d1"/>
    <w:rPr>
      <w:rFonts w:eastAsia="Times New Roman"/>
      <w:b/>
      <w:bCs/>
      <w:color w:val="000000"/>
      <w:spacing w:val="7"/>
      <w:w w:val="100"/>
      <w:sz w:val="23"/>
      <w:szCs w:val="23"/>
      <w:u w:val="none"/>
    </w:rPr>
  </w:style>
  <w:style w:type="character" w:styleId="ListLabel21" w:customStyle="1">
    <w:name w:val="ListLabel 21"/>
    <w:uiPriority w:val="99"/>
    <w:qFormat/>
    <w:rsid w:val="009363d1"/>
    <w:rPr>
      <w:rFonts w:eastAsia="Times New Roman"/>
      <w:color w:val="000000"/>
      <w:spacing w:val="5"/>
      <w:w w:val="100"/>
      <w:sz w:val="23"/>
      <w:szCs w:val="23"/>
      <w:u w:val="none"/>
    </w:rPr>
  </w:style>
  <w:style w:type="character" w:styleId="ListLabel22" w:customStyle="1">
    <w:name w:val="ListLabel 22"/>
    <w:uiPriority w:val="99"/>
    <w:qFormat/>
    <w:rsid w:val="009363d1"/>
    <w:rPr>
      <w:rFonts w:eastAsia="Times New Roman"/>
      <w:color w:val="000000"/>
      <w:spacing w:val="5"/>
      <w:w w:val="100"/>
      <w:sz w:val="23"/>
      <w:szCs w:val="23"/>
      <w:u w:val="none"/>
    </w:rPr>
  </w:style>
  <w:style w:type="character" w:styleId="ListLabel23" w:customStyle="1">
    <w:name w:val="ListLabel 23"/>
    <w:uiPriority w:val="99"/>
    <w:qFormat/>
    <w:rsid w:val="009363d1"/>
    <w:rPr/>
  </w:style>
  <w:style w:type="character" w:styleId="ListLabel24" w:customStyle="1">
    <w:name w:val="ListLabel 24"/>
    <w:uiPriority w:val="99"/>
    <w:qFormat/>
    <w:rsid w:val="009363d1"/>
    <w:rPr>
      <w:rFonts w:ascii="Arial" w:hAnsi="Arial" w:cs="Arial"/>
      <w:b/>
      <w:bCs/>
      <w:color w:val="000000"/>
      <w:sz w:val="26"/>
      <w:szCs w:val="26"/>
    </w:rPr>
  </w:style>
  <w:style w:type="character" w:styleId="ListLabel25" w:customStyle="1">
    <w:name w:val="ListLabel 25"/>
    <w:uiPriority w:val="99"/>
    <w:qFormat/>
    <w:rsid w:val="009363d1"/>
    <w:rPr>
      <w:color w:val="000000"/>
    </w:rPr>
  </w:style>
  <w:style w:type="character" w:styleId="ListLabel26" w:customStyle="1">
    <w:name w:val="ListLabel 26"/>
    <w:uiPriority w:val="99"/>
    <w:qFormat/>
    <w:rsid w:val="009363d1"/>
    <w:rPr>
      <w:color w:val="000000"/>
      <w:sz w:val="26"/>
      <w:szCs w:val="26"/>
    </w:rPr>
  </w:style>
  <w:style w:type="character" w:styleId="ListLabel27" w:customStyle="1">
    <w:name w:val="ListLabel 27"/>
    <w:uiPriority w:val="99"/>
    <w:qFormat/>
    <w:rsid w:val="009363d1"/>
    <w:rPr>
      <w:color w:val="000000"/>
    </w:rPr>
  </w:style>
  <w:style w:type="character" w:styleId="ListLabel28" w:customStyle="1">
    <w:name w:val="ListLabel 28"/>
    <w:uiPriority w:val="99"/>
    <w:qFormat/>
    <w:rsid w:val="009363d1"/>
    <w:rPr>
      <w:color w:val="000000"/>
    </w:rPr>
  </w:style>
  <w:style w:type="character" w:styleId="ListLabel29" w:customStyle="1">
    <w:name w:val="ListLabel 29"/>
    <w:uiPriority w:val="99"/>
    <w:qFormat/>
    <w:rsid w:val="009363d1"/>
    <w:rPr>
      <w:color w:val="000000"/>
    </w:rPr>
  </w:style>
  <w:style w:type="character" w:styleId="ListLabel30" w:customStyle="1">
    <w:name w:val="ListLabel 30"/>
    <w:uiPriority w:val="99"/>
    <w:qFormat/>
    <w:rsid w:val="009363d1"/>
    <w:rPr>
      <w:color w:val="000000"/>
    </w:rPr>
  </w:style>
  <w:style w:type="character" w:styleId="ListLabel31" w:customStyle="1">
    <w:name w:val="ListLabel 31"/>
    <w:uiPriority w:val="99"/>
    <w:qFormat/>
    <w:rsid w:val="009363d1"/>
    <w:rPr>
      <w:color w:val="000000"/>
    </w:rPr>
  </w:style>
  <w:style w:type="character" w:styleId="ListLabel32" w:customStyle="1">
    <w:name w:val="ListLabel 32"/>
    <w:uiPriority w:val="99"/>
    <w:qFormat/>
    <w:rsid w:val="009363d1"/>
    <w:rPr>
      <w:color w:val="000000"/>
    </w:rPr>
  </w:style>
  <w:style w:type="character" w:styleId="ListLabel33" w:customStyle="1">
    <w:name w:val="ListLabel 33"/>
    <w:uiPriority w:val="99"/>
    <w:qFormat/>
    <w:rsid w:val="009363d1"/>
    <w:rPr>
      <w:rFonts w:ascii="Arial" w:hAnsi="Arial" w:cs="Arial"/>
      <w:b/>
      <w:bCs/>
      <w:sz w:val="20"/>
      <w:szCs w:val="20"/>
    </w:rPr>
  </w:style>
  <w:style w:type="character" w:styleId="ListLabel34" w:customStyle="1">
    <w:name w:val="ListLabel 34"/>
    <w:uiPriority w:val="99"/>
    <w:qFormat/>
    <w:rsid w:val="009363d1"/>
    <w:rPr>
      <w:rFonts w:ascii="Arial" w:hAnsi="Arial" w:cs="Arial"/>
      <w:b/>
      <w:bCs/>
      <w:sz w:val="20"/>
      <w:szCs w:val="20"/>
    </w:rPr>
  </w:style>
  <w:style w:type="character" w:styleId="ListLabel35" w:customStyle="1">
    <w:name w:val="ListLabel 35"/>
    <w:uiPriority w:val="99"/>
    <w:qFormat/>
    <w:rsid w:val="009363d1"/>
    <w:rPr>
      <w:rFonts w:ascii="Arial" w:hAnsi="Arial" w:cs="Arial"/>
      <w:b/>
      <w:bCs/>
      <w:color w:val="000000"/>
      <w:sz w:val="26"/>
      <w:szCs w:val="26"/>
    </w:rPr>
  </w:style>
  <w:style w:type="character" w:styleId="ListLabel36" w:customStyle="1">
    <w:name w:val="ListLabel 36"/>
    <w:uiPriority w:val="99"/>
    <w:qFormat/>
    <w:rsid w:val="009363d1"/>
    <w:rPr>
      <w:color w:val="000000"/>
    </w:rPr>
  </w:style>
  <w:style w:type="character" w:styleId="ListLabel37" w:customStyle="1">
    <w:name w:val="ListLabel 37"/>
    <w:uiPriority w:val="99"/>
    <w:qFormat/>
    <w:rsid w:val="009363d1"/>
    <w:rPr>
      <w:color w:val="000000"/>
      <w:sz w:val="26"/>
      <w:szCs w:val="26"/>
    </w:rPr>
  </w:style>
  <w:style w:type="character" w:styleId="ListLabel38" w:customStyle="1">
    <w:name w:val="ListLabel 38"/>
    <w:uiPriority w:val="99"/>
    <w:qFormat/>
    <w:rsid w:val="009363d1"/>
    <w:rPr>
      <w:color w:val="000000"/>
    </w:rPr>
  </w:style>
  <w:style w:type="character" w:styleId="ListLabel39" w:customStyle="1">
    <w:name w:val="ListLabel 39"/>
    <w:uiPriority w:val="99"/>
    <w:qFormat/>
    <w:rsid w:val="009363d1"/>
    <w:rPr>
      <w:color w:val="000000"/>
    </w:rPr>
  </w:style>
  <w:style w:type="character" w:styleId="ListLabel40" w:customStyle="1">
    <w:name w:val="ListLabel 40"/>
    <w:uiPriority w:val="99"/>
    <w:qFormat/>
    <w:rsid w:val="009363d1"/>
    <w:rPr>
      <w:color w:val="000000"/>
    </w:rPr>
  </w:style>
  <w:style w:type="character" w:styleId="ListLabel41" w:customStyle="1">
    <w:name w:val="ListLabel 41"/>
    <w:uiPriority w:val="99"/>
    <w:qFormat/>
    <w:rsid w:val="009363d1"/>
    <w:rPr>
      <w:color w:val="000000"/>
    </w:rPr>
  </w:style>
  <w:style w:type="character" w:styleId="ListLabel42" w:customStyle="1">
    <w:name w:val="ListLabel 42"/>
    <w:uiPriority w:val="99"/>
    <w:qFormat/>
    <w:rsid w:val="009363d1"/>
    <w:rPr>
      <w:color w:val="000000"/>
    </w:rPr>
  </w:style>
  <w:style w:type="character" w:styleId="ListLabel43" w:customStyle="1">
    <w:name w:val="ListLabel 43"/>
    <w:uiPriority w:val="99"/>
    <w:qFormat/>
    <w:rsid w:val="009363d1"/>
    <w:rPr>
      <w:color w:val="000000"/>
    </w:rPr>
  </w:style>
  <w:style w:type="character" w:styleId="ListLabel44" w:customStyle="1">
    <w:name w:val="ListLabel 44"/>
    <w:uiPriority w:val="99"/>
    <w:qFormat/>
    <w:rsid w:val="009363d1"/>
    <w:rPr>
      <w:rFonts w:ascii="Arial" w:hAnsi="Arial" w:cs="Arial"/>
      <w:b/>
      <w:bCs/>
      <w:sz w:val="20"/>
      <w:szCs w:val="20"/>
    </w:rPr>
  </w:style>
  <w:style w:type="character" w:styleId="ListLabel45" w:customStyle="1">
    <w:name w:val="ListLabel 45"/>
    <w:uiPriority w:val="99"/>
    <w:qFormat/>
    <w:rsid w:val="009363d1"/>
    <w:rPr>
      <w:rFonts w:ascii="Arial" w:hAnsi="Arial" w:cs="Arial"/>
      <w:b/>
      <w:bCs/>
      <w:sz w:val="20"/>
      <w:szCs w:val="20"/>
    </w:rPr>
  </w:style>
  <w:style w:type="character" w:styleId="ListLabel46" w:customStyle="1">
    <w:name w:val="ListLabel 46"/>
    <w:uiPriority w:val="99"/>
    <w:qFormat/>
    <w:rsid w:val="009363d1"/>
    <w:rPr>
      <w:rFonts w:ascii="Arial" w:hAnsi="Arial" w:cs="Arial"/>
      <w:b/>
      <w:bCs/>
      <w:color w:val="000000"/>
      <w:sz w:val="26"/>
      <w:szCs w:val="26"/>
    </w:rPr>
  </w:style>
  <w:style w:type="character" w:styleId="ListLabel47" w:customStyle="1">
    <w:name w:val="ListLabel 47"/>
    <w:uiPriority w:val="99"/>
    <w:qFormat/>
    <w:rsid w:val="009363d1"/>
    <w:rPr>
      <w:color w:val="000000"/>
    </w:rPr>
  </w:style>
  <w:style w:type="character" w:styleId="ListLabel48" w:customStyle="1">
    <w:name w:val="ListLabel 48"/>
    <w:uiPriority w:val="99"/>
    <w:qFormat/>
    <w:rsid w:val="009363d1"/>
    <w:rPr>
      <w:color w:val="000000"/>
      <w:sz w:val="26"/>
      <w:szCs w:val="26"/>
    </w:rPr>
  </w:style>
  <w:style w:type="character" w:styleId="ListLabel49" w:customStyle="1">
    <w:name w:val="ListLabel 49"/>
    <w:uiPriority w:val="99"/>
    <w:qFormat/>
    <w:rsid w:val="009363d1"/>
    <w:rPr>
      <w:color w:val="000000"/>
    </w:rPr>
  </w:style>
  <w:style w:type="character" w:styleId="ListLabel50" w:customStyle="1">
    <w:name w:val="ListLabel 50"/>
    <w:uiPriority w:val="99"/>
    <w:qFormat/>
    <w:rsid w:val="009363d1"/>
    <w:rPr>
      <w:color w:val="000000"/>
    </w:rPr>
  </w:style>
  <w:style w:type="character" w:styleId="ListLabel51" w:customStyle="1">
    <w:name w:val="ListLabel 51"/>
    <w:uiPriority w:val="99"/>
    <w:qFormat/>
    <w:rsid w:val="009363d1"/>
    <w:rPr>
      <w:color w:val="000000"/>
    </w:rPr>
  </w:style>
  <w:style w:type="character" w:styleId="ListLabel52" w:customStyle="1">
    <w:name w:val="ListLabel 52"/>
    <w:uiPriority w:val="99"/>
    <w:qFormat/>
    <w:rsid w:val="009363d1"/>
    <w:rPr>
      <w:color w:val="000000"/>
    </w:rPr>
  </w:style>
  <w:style w:type="character" w:styleId="ListLabel53" w:customStyle="1">
    <w:name w:val="ListLabel 53"/>
    <w:uiPriority w:val="99"/>
    <w:qFormat/>
    <w:rsid w:val="009363d1"/>
    <w:rPr>
      <w:color w:val="000000"/>
    </w:rPr>
  </w:style>
  <w:style w:type="character" w:styleId="ListLabel54" w:customStyle="1">
    <w:name w:val="ListLabel 54"/>
    <w:uiPriority w:val="99"/>
    <w:qFormat/>
    <w:rsid w:val="009363d1"/>
    <w:rPr>
      <w:color w:val="000000"/>
    </w:rPr>
  </w:style>
  <w:style w:type="character" w:styleId="Style22" w:customStyle="1">
    <w:name w:val="Основной текст Знак"/>
    <w:uiPriority w:val="99"/>
    <w:semiHidden/>
    <w:qFormat/>
    <w:rsid w:val="00ba7efc"/>
    <w:rPr>
      <w:rFonts w:cs="Calibri"/>
      <w:color w:val="00000A"/>
      <w:lang w:eastAsia="en-US"/>
    </w:rPr>
  </w:style>
  <w:style w:type="character" w:styleId="Style23" w:customStyle="1">
    <w:name w:val="Название Знак"/>
    <w:uiPriority w:val="10"/>
    <w:qFormat/>
    <w:rsid w:val="00ba7efc"/>
    <w:rPr>
      <w:rFonts w:ascii="Cambria" w:hAnsi="Cambria" w:eastAsia="Times New Roman" w:cs="Times New Roman"/>
      <w:b/>
      <w:bCs/>
      <w:color w:val="00000A"/>
      <w:sz w:val="32"/>
      <w:szCs w:val="32"/>
      <w:lang w:eastAsia="en-US"/>
    </w:rPr>
  </w:style>
  <w:style w:type="character" w:styleId="1" w:customStyle="1">
    <w:name w:val="Верхний колонтитул Знак1"/>
    <w:uiPriority w:val="99"/>
    <w:semiHidden/>
    <w:qFormat/>
    <w:rsid w:val="00ba7efc"/>
    <w:rPr>
      <w:rFonts w:cs="Calibri"/>
      <w:color w:val="00000A"/>
      <w:lang w:eastAsia="en-US"/>
    </w:rPr>
  </w:style>
  <w:style w:type="character" w:styleId="11" w:customStyle="1">
    <w:name w:val="Нижний колонтитул Знак1"/>
    <w:link w:val="ae"/>
    <w:uiPriority w:val="99"/>
    <w:semiHidden/>
    <w:qFormat/>
    <w:rsid w:val="00ba7efc"/>
    <w:rPr>
      <w:rFonts w:cs="Calibri"/>
      <w:color w:val="00000A"/>
      <w:lang w:eastAsia="en-US"/>
    </w:rPr>
  </w:style>
  <w:style w:type="character" w:styleId="12" w:customStyle="1">
    <w:name w:val="Текст сноски Знак1"/>
    <w:link w:val="af"/>
    <w:uiPriority w:val="99"/>
    <w:semiHidden/>
    <w:qFormat/>
    <w:rsid w:val="00ba7efc"/>
    <w:rPr>
      <w:rFonts w:cs="Calibri"/>
      <w:color w:val="00000A"/>
      <w:sz w:val="20"/>
      <w:szCs w:val="20"/>
      <w:lang w:eastAsia="en-US"/>
    </w:rPr>
  </w:style>
  <w:style w:type="character" w:styleId="13" w:customStyle="1">
    <w:name w:val="Текст концевой сноски Знак1"/>
    <w:link w:val="af0"/>
    <w:uiPriority w:val="99"/>
    <w:semiHidden/>
    <w:qFormat/>
    <w:rsid w:val="00ba7efc"/>
    <w:rPr>
      <w:rFonts w:cs="Calibri"/>
      <w:color w:val="00000A"/>
      <w:sz w:val="20"/>
      <w:szCs w:val="20"/>
      <w:lang w:eastAsia="en-US"/>
    </w:rPr>
  </w:style>
  <w:style w:type="character" w:styleId="14" w:customStyle="1">
    <w:name w:val="Текст выноски Знак1"/>
    <w:link w:val="af1"/>
    <w:uiPriority w:val="99"/>
    <w:semiHidden/>
    <w:qFormat/>
    <w:rsid w:val="00ba7efc"/>
    <w:rPr>
      <w:rFonts w:ascii="Times New Roman" w:hAnsi="Times New Roman"/>
      <w:color w:val="00000A"/>
      <w:sz w:val="0"/>
      <w:szCs w:val="0"/>
      <w:lang w:eastAsia="en-US"/>
    </w:rPr>
  </w:style>
  <w:style w:type="character" w:styleId="ListLabel55" w:customStyle="1">
    <w:name w:val="ListLabel 55"/>
    <w:qFormat/>
    <w:rPr>
      <w:rFonts w:ascii="Arial" w:hAnsi="Arial" w:cs="Arial"/>
      <w:b/>
      <w:bCs/>
      <w:sz w:val="20"/>
      <w:szCs w:val="20"/>
    </w:rPr>
  </w:style>
  <w:style w:type="character" w:styleId="ListLabel56" w:customStyle="1">
    <w:name w:val="ListLabel 56"/>
    <w:qFormat/>
    <w:rPr>
      <w:rFonts w:ascii="Arial" w:hAnsi="Arial" w:cs="Arial"/>
      <w:b/>
      <w:bCs/>
      <w:sz w:val="20"/>
      <w:szCs w:val="20"/>
    </w:rPr>
  </w:style>
  <w:style w:type="character" w:styleId="ListLabel57" w:customStyle="1">
    <w:name w:val="ListLabel 57"/>
    <w:qFormat/>
    <w:rPr>
      <w:rFonts w:ascii="Arial" w:hAnsi="Arial" w:cs="Arial"/>
      <w:b/>
      <w:bCs/>
      <w:color w:val="000000"/>
      <w:sz w:val="26"/>
      <w:szCs w:val="26"/>
    </w:rPr>
  </w:style>
  <w:style w:type="character" w:styleId="ListLabel58" w:customStyle="1">
    <w:name w:val="ListLabel 58"/>
    <w:qFormat/>
    <w:rPr>
      <w:color w:val="000000"/>
    </w:rPr>
  </w:style>
  <w:style w:type="character" w:styleId="ListLabel59" w:customStyle="1">
    <w:name w:val="ListLabel 59"/>
    <w:qFormat/>
    <w:rPr>
      <w:color w:val="000000"/>
      <w:sz w:val="26"/>
      <w:szCs w:val="26"/>
    </w:rPr>
  </w:style>
  <w:style w:type="character" w:styleId="ListLabel60" w:customStyle="1">
    <w:name w:val="ListLabel 60"/>
    <w:qFormat/>
    <w:rPr>
      <w:color w:val="000000"/>
    </w:rPr>
  </w:style>
  <w:style w:type="character" w:styleId="ListLabel61" w:customStyle="1">
    <w:name w:val="ListLabel 61"/>
    <w:qFormat/>
    <w:rPr>
      <w:color w:val="000000"/>
    </w:rPr>
  </w:style>
  <w:style w:type="character" w:styleId="ListLabel62" w:customStyle="1">
    <w:name w:val="ListLabel 62"/>
    <w:qFormat/>
    <w:rPr>
      <w:color w:val="000000"/>
    </w:rPr>
  </w:style>
  <w:style w:type="character" w:styleId="ListLabel63" w:customStyle="1">
    <w:name w:val="ListLabel 63"/>
    <w:qFormat/>
    <w:rPr>
      <w:color w:val="000000"/>
    </w:rPr>
  </w:style>
  <w:style w:type="character" w:styleId="ListLabel64" w:customStyle="1">
    <w:name w:val="ListLabel 64"/>
    <w:qFormat/>
    <w:rPr>
      <w:color w:val="000000"/>
    </w:rPr>
  </w:style>
  <w:style w:type="character" w:styleId="ListLabel65" w:customStyle="1">
    <w:name w:val="ListLabel 65"/>
    <w:qFormat/>
    <w:rPr>
      <w:color w:val="000000"/>
    </w:rPr>
  </w:style>
  <w:style w:type="character" w:styleId="ListLabel66" w:customStyle="1">
    <w:name w:val="ListLabel 66"/>
    <w:qFormat/>
    <w:rPr>
      <w:sz w:val="26"/>
    </w:rPr>
  </w:style>
  <w:style w:type="character" w:styleId="ListLabel67" w:customStyle="1">
    <w:name w:val="ListLabel 67"/>
    <w:qFormat/>
    <w:rPr>
      <w:sz w:val="26"/>
    </w:rPr>
  </w:style>
  <w:style w:type="character" w:styleId="ListLabel68" w:customStyle="1">
    <w:name w:val="ListLabel 68"/>
    <w:qFormat/>
    <w:rPr>
      <w:sz w:val="26"/>
    </w:rPr>
  </w:style>
  <w:style w:type="character" w:styleId="ListLabel69" w:customStyle="1">
    <w:name w:val="ListLabel 69"/>
    <w:qFormat/>
    <w:rPr>
      <w:sz w:val="26"/>
    </w:rPr>
  </w:style>
  <w:style w:type="character" w:styleId="ListLabel70" w:customStyle="1">
    <w:name w:val="ListLabel 70"/>
    <w:qFormat/>
    <w:rPr>
      <w:sz w:val="26"/>
    </w:rPr>
  </w:style>
  <w:style w:type="character" w:styleId="ListLabel71" w:customStyle="1">
    <w:name w:val="ListLabel 71"/>
    <w:qFormat/>
    <w:rPr>
      <w:sz w:val="26"/>
    </w:rPr>
  </w:style>
  <w:style w:type="character" w:styleId="ListLabel72" w:customStyle="1">
    <w:name w:val="ListLabel 72"/>
    <w:qFormat/>
    <w:rPr>
      <w:sz w:val="26"/>
    </w:rPr>
  </w:style>
  <w:style w:type="character" w:styleId="ListLabel73" w:customStyle="1">
    <w:name w:val="ListLabel 73"/>
    <w:qFormat/>
    <w:rPr>
      <w:sz w:val="26"/>
    </w:rPr>
  </w:style>
  <w:style w:type="character" w:styleId="ListLabel74" w:customStyle="1">
    <w:name w:val="ListLabel 74"/>
    <w:qFormat/>
    <w:rPr>
      <w:sz w:val="26"/>
    </w:rPr>
  </w:style>
  <w:style w:type="character" w:styleId="ListLabel75">
    <w:name w:val="ListLabel 75"/>
    <w:qFormat/>
    <w:rPr>
      <w:rFonts w:ascii="Arial" w:hAnsi="Arial" w:cs="Arial"/>
      <w:b/>
      <w:bCs/>
      <w:sz w:val="20"/>
      <w:szCs w:val="20"/>
    </w:rPr>
  </w:style>
  <w:style w:type="character" w:styleId="ListLabel76">
    <w:name w:val="ListLabel 76"/>
    <w:qFormat/>
    <w:rPr>
      <w:rFonts w:ascii="Arial" w:hAnsi="Arial" w:cs="Arial"/>
      <w:b/>
      <w:bCs/>
      <w:sz w:val="20"/>
      <w:szCs w:val="20"/>
    </w:rPr>
  </w:style>
  <w:style w:type="character" w:styleId="ListLabel77">
    <w:name w:val="ListLabel 77"/>
    <w:qFormat/>
    <w:rPr>
      <w:rFonts w:cs="Arial"/>
      <w:b/>
      <w:bCs/>
      <w:color w:val="000000"/>
      <w:sz w:val="26"/>
      <w:szCs w:val="26"/>
    </w:rPr>
  </w:style>
  <w:style w:type="character" w:styleId="ListLabel78">
    <w:name w:val="ListLabel 78"/>
    <w:qFormat/>
    <w:rPr>
      <w:color w:val="000000"/>
    </w:rPr>
  </w:style>
  <w:style w:type="character" w:styleId="ListLabel79">
    <w:name w:val="ListLabel 79"/>
    <w:qFormat/>
    <w:rPr>
      <w:color w:val="000000"/>
      <w:sz w:val="26"/>
      <w:szCs w:val="26"/>
    </w:rPr>
  </w:style>
  <w:style w:type="character" w:styleId="ListLabel80">
    <w:name w:val="ListLabel 80"/>
    <w:qFormat/>
    <w:rPr>
      <w:color w:val="000000"/>
    </w:rPr>
  </w:style>
  <w:style w:type="character" w:styleId="ListLabel81">
    <w:name w:val="ListLabel 81"/>
    <w:qFormat/>
    <w:rPr>
      <w:color w:val="000000"/>
    </w:rPr>
  </w:style>
  <w:style w:type="character" w:styleId="ListLabel82">
    <w:name w:val="ListLabel 82"/>
    <w:qFormat/>
    <w:rPr>
      <w:color w:val="000000"/>
    </w:rPr>
  </w:style>
  <w:style w:type="character" w:styleId="ListLabel83">
    <w:name w:val="ListLabel 83"/>
    <w:qFormat/>
    <w:rPr>
      <w:color w:val="000000"/>
    </w:rPr>
  </w:style>
  <w:style w:type="character" w:styleId="ListLabel84">
    <w:name w:val="ListLabel 84"/>
    <w:qFormat/>
    <w:rPr>
      <w:color w:val="000000"/>
    </w:rPr>
  </w:style>
  <w:style w:type="character" w:styleId="ListLabel85">
    <w:name w:val="ListLabel 85"/>
    <w:qFormat/>
    <w:rPr>
      <w:color w:val="000000"/>
    </w:rPr>
  </w:style>
  <w:style w:type="character" w:styleId="ListLabel86">
    <w:name w:val="ListLabel 86"/>
    <w:qFormat/>
    <w:rPr>
      <w:rFonts w:ascii="Arial" w:hAnsi="Arial"/>
      <w:b/>
      <w:sz w:val="26"/>
    </w:rPr>
  </w:style>
  <w:style w:type="character" w:styleId="ListLabel87">
    <w:name w:val="ListLabel 87"/>
    <w:qFormat/>
    <w:rPr>
      <w:sz w:val="26"/>
    </w:rPr>
  </w:style>
  <w:style w:type="character" w:styleId="ListLabel88">
    <w:name w:val="ListLabel 88"/>
    <w:qFormat/>
    <w:rPr>
      <w:sz w:val="26"/>
    </w:rPr>
  </w:style>
  <w:style w:type="character" w:styleId="ListLabel89">
    <w:name w:val="ListLabel 89"/>
    <w:qFormat/>
    <w:rPr>
      <w:sz w:val="26"/>
    </w:rPr>
  </w:style>
  <w:style w:type="character" w:styleId="ListLabel90">
    <w:name w:val="ListLabel 90"/>
    <w:qFormat/>
    <w:rPr>
      <w:sz w:val="26"/>
    </w:rPr>
  </w:style>
  <w:style w:type="character" w:styleId="ListLabel91">
    <w:name w:val="ListLabel 91"/>
    <w:qFormat/>
    <w:rPr>
      <w:sz w:val="26"/>
    </w:rPr>
  </w:style>
  <w:style w:type="character" w:styleId="ListLabel92">
    <w:name w:val="ListLabel 92"/>
    <w:qFormat/>
    <w:rPr>
      <w:sz w:val="26"/>
    </w:rPr>
  </w:style>
  <w:style w:type="character" w:styleId="ListLabel93">
    <w:name w:val="ListLabel 93"/>
    <w:qFormat/>
    <w:rPr>
      <w:sz w:val="26"/>
    </w:rPr>
  </w:style>
  <w:style w:type="character" w:styleId="ListLabel94">
    <w:name w:val="ListLabel 94"/>
    <w:qFormat/>
    <w:rPr>
      <w:sz w:val="26"/>
    </w:rPr>
  </w:style>
  <w:style w:type="paragraph" w:styleId="Style24" w:customStyle="1">
    <w:name w:val="Заголовок"/>
    <w:basedOn w:val="Normal"/>
    <w:next w:val="Style25"/>
    <w:uiPriority w:val="99"/>
    <w:qFormat/>
    <w:rsid w:val="009363d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Style25">
    <w:name w:val="Основной текст"/>
    <w:basedOn w:val="Normal"/>
    <w:uiPriority w:val="99"/>
    <w:rsid w:val="009363d1"/>
    <w:pPr>
      <w:spacing w:lineRule="auto" w:line="288" w:before="0" w:after="140"/>
    </w:pPr>
    <w:rPr/>
  </w:style>
  <w:style w:type="paragraph" w:styleId="Style26">
    <w:name w:val="Список"/>
    <w:basedOn w:val="Style25"/>
    <w:uiPriority w:val="99"/>
    <w:rsid w:val="009363d1"/>
    <w:pPr/>
    <w:rPr/>
  </w:style>
  <w:style w:type="paragraph" w:styleId="Style2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Mangal"/>
    </w:rPr>
  </w:style>
  <w:style w:type="paragraph" w:styleId="Style29" w:customStyle="1">
    <w:name w:val="Заглавие"/>
    <w:basedOn w:val="Normal"/>
    <w:uiPriority w:val="99"/>
    <w:qFormat/>
    <w:rsid w:val="009363d1"/>
    <w:pPr>
      <w:suppressLineNumbers/>
      <w:spacing w:before="120" w:after="120"/>
    </w:pPr>
    <w:rPr>
      <w:i/>
      <w:iCs/>
      <w:sz w:val="24"/>
      <w:szCs w:val="24"/>
    </w:rPr>
  </w:style>
  <w:style w:type="paragraph" w:styleId="Indexheading">
    <w:name w:val="index heading"/>
    <w:basedOn w:val="Normal"/>
    <w:uiPriority w:val="99"/>
    <w:semiHidden/>
    <w:qFormat/>
    <w:rsid w:val="009363d1"/>
    <w:pPr>
      <w:suppressLineNumbers/>
    </w:pPr>
    <w:rPr/>
  </w:style>
  <w:style w:type="paragraph" w:styleId="Index1">
    <w:name w:val="index 1"/>
    <w:basedOn w:val="Normal"/>
    <w:autoRedefine/>
    <w:uiPriority w:val="99"/>
    <w:semiHidden/>
    <w:qFormat/>
    <w:rsid w:val="002b24a5"/>
    <w:pPr>
      <w:ind w:left="220" w:hanging="220"/>
    </w:pPr>
    <w:rPr/>
  </w:style>
  <w:style w:type="paragraph" w:styleId="ListParagraph">
    <w:name w:val="List Paragraph"/>
    <w:basedOn w:val="Normal"/>
    <w:uiPriority w:val="99"/>
    <w:qFormat/>
    <w:rsid w:val="002b24a5"/>
    <w:pPr>
      <w:ind w:left="720" w:hanging="0"/>
    </w:pPr>
    <w:rPr/>
  </w:style>
  <w:style w:type="paragraph" w:styleId="ConsPlusCell" w:customStyle="1">
    <w:name w:val="ConsPlusCell"/>
    <w:uiPriority w:val="99"/>
    <w:qFormat/>
    <w:rsid w:val="002b24a5"/>
    <w:pPr>
      <w:widowControl w:val="fals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Style30">
    <w:name w:val="Верхний колонтитул"/>
    <w:basedOn w:val="Normal"/>
    <w:uiPriority w:val="99"/>
    <w:rsid w:val="002b24a5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31">
    <w:name w:val="Нижний колонтитул"/>
    <w:basedOn w:val="Normal"/>
    <w:link w:val="10"/>
    <w:uiPriority w:val="99"/>
    <w:rsid w:val="002b24a5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Spacing">
    <w:name w:val="No Spacing"/>
    <w:uiPriority w:val="99"/>
    <w:qFormat/>
    <w:rsid w:val="002b24a5"/>
    <w:pPr>
      <w:widowControl/>
      <w:bidi w:val="0"/>
      <w:jc w:val="left"/>
    </w:pPr>
    <w:rPr>
      <w:rFonts w:cs="Calibri" w:ascii="Calibri" w:hAnsi="Calibri" w:eastAsia="Calibri"/>
      <w:color w:val="00000A"/>
      <w:sz w:val="22"/>
      <w:szCs w:val="22"/>
      <w:lang w:eastAsia="en-US" w:val="ru-RU" w:bidi="ar-SA"/>
    </w:rPr>
  </w:style>
  <w:style w:type="paragraph" w:styleId="24" w:customStyle="1">
    <w:name w:val="Основной текст2"/>
    <w:basedOn w:val="Normal"/>
    <w:uiPriority w:val="99"/>
    <w:qFormat/>
    <w:rsid w:val="002b24a5"/>
    <w:pPr>
      <w:widowControl w:val="false"/>
      <w:shd w:val="clear" w:color="auto" w:fill="FFFFFF"/>
      <w:spacing w:lineRule="exact" w:line="298" w:before="240" w:after="0"/>
      <w:ind w:hanging="1160"/>
      <w:jc w:val="both"/>
    </w:pPr>
    <w:rPr>
      <w:rFonts w:ascii="Arial" w:hAnsi="Arial" w:cs="Arial"/>
      <w:spacing w:val="5"/>
      <w:sz w:val="23"/>
      <w:szCs w:val="23"/>
    </w:rPr>
  </w:style>
  <w:style w:type="paragraph" w:styleId="Footnotetext">
    <w:name w:val="footnote text"/>
    <w:basedOn w:val="Normal"/>
    <w:link w:val="11"/>
    <w:uiPriority w:val="99"/>
    <w:semiHidden/>
    <w:qFormat/>
    <w:rsid w:val="002b24a5"/>
    <w:pPr>
      <w:spacing w:lineRule="auto" w:line="240" w:before="0" w:after="0"/>
    </w:pPr>
    <w:rPr>
      <w:sz w:val="20"/>
      <w:szCs w:val="20"/>
    </w:rPr>
  </w:style>
  <w:style w:type="paragraph" w:styleId="Style32" w:customStyle="1">
    <w:name w:val="Сноска"/>
    <w:basedOn w:val="Normal"/>
    <w:uiPriority w:val="99"/>
    <w:rsid w:val="002b24a5"/>
    <w:pPr>
      <w:widowControl w:val="false"/>
      <w:shd w:val="clear" w:color="auto" w:fill="FFFFFF"/>
      <w:spacing w:lineRule="atLeast" w:line="240" w:before="0" w:after="0"/>
    </w:pPr>
    <w:rPr>
      <w:rFonts w:ascii="Arial" w:hAnsi="Arial" w:cs="Arial"/>
      <w:spacing w:val="4"/>
      <w:sz w:val="17"/>
      <w:szCs w:val="17"/>
    </w:rPr>
  </w:style>
  <w:style w:type="paragraph" w:styleId="31" w:customStyle="1">
    <w:name w:val="Основной текст (3)"/>
    <w:basedOn w:val="Normal"/>
    <w:link w:val="3"/>
    <w:uiPriority w:val="99"/>
    <w:qFormat/>
    <w:rsid w:val="002b24a5"/>
    <w:pPr>
      <w:widowControl w:val="false"/>
      <w:shd w:val="clear" w:color="auto" w:fill="FFFFFF"/>
      <w:spacing w:lineRule="exact" w:line="302" w:before="240" w:after="240"/>
    </w:pPr>
    <w:rPr>
      <w:rFonts w:ascii="Arial" w:hAnsi="Arial" w:cs="Arial"/>
      <w:b/>
      <w:bCs/>
      <w:spacing w:val="7"/>
      <w:sz w:val="23"/>
      <w:szCs w:val="23"/>
    </w:rPr>
  </w:style>
  <w:style w:type="paragraph" w:styleId="Endnotetext">
    <w:name w:val="endnote text"/>
    <w:basedOn w:val="Normal"/>
    <w:link w:val="12"/>
    <w:uiPriority w:val="99"/>
    <w:semiHidden/>
    <w:qFormat/>
    <w:rsid w:val="002b24a5"/>
    <w:pPr>
      <w:spacing w:lineRule="auto" w:line="240" w:before="0" w:after="0"/>
    </w:pPr>
    <w:rPr>
      <w:sz w:val="20"/>
      <w:szCs w:val="20"/>
    </w:rPr>
  </w:style>
  <w:style w:type="paragraph" w:styleId="ConsPlusNormal" w:customStyle="1">
    <w:name w:val="ConsPlusNormal"/>
    <w:uiPriority w:val="99"/>
    <w:qFormat/>
    <w:rsid w:val="002b24a5"/>
    <w:pPr>
      <w:widowControl/>
      <w:bidi w:val="0"/>
      <w:ind w:firstLine="720"/>
      <w:jc w:val="left"/>
    </w:pPr>
    <w:rPr>
      <w:rFonts w:ascii="Arial" w:hAnsi="Arial" w:eastAsia="Times New Roman" w:cs="Arial"/>
      <w:color w:val="00000A"/>
      <w:sz w:val="22"/>
      <w:szCs w:val="22"/>
      <w:lang w:val="ru-RU" w:eastAsia="ru-RU" w:bidi="ar-SA"/>
    </w:rPr>
  </w:style>
  <w:style w:type="paragraph" w:styleId="BalloonText">
    <w:name w:val="Balloon Text"/>
    <w:basedOn w:val="Normal"/>
    <w:link w:val="13"/>
    <w:uiPriority w:val="99"/>
    <w:semiHidden/>
    <w:qFormat/>
    <w:rsid w:val="002b24a5"/>
    <w:pPr>
      <w:spacing w:lineRule="auto" w:line="240" w:before="0" w:after="0"/>
    </w:pPr>
    <w:rPr>
      <w:rFonts w:ascii="Arial" w:hAnsi="Arial" w:cs="Arial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c">
    <w:name w:val="Table Grid"/>
    <w:basedOn w:val="a1"/>
    <w:uiPriority w:val="99"/>
    <w:rsid w:val="002b24a5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B7696041BBD264D58CE403C23D19BC542BEDB6E6C336E6180D4CF6951h5c2L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LibreOffice/5.1.1.3$Windows_X86_64 LibreOffice_project/89f508ef3ecebd2cfb8e1def0f0ba9a803b88a6d</Application>
  <Pages>22</Pages>
  <Words>6276</Words>
  <Characters>49661</Characters>
  <CharactersWithSpaces>55734</CharactersWithSpaces>
  <Paragraphs>488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2023-12-07T06:52:00Z</dcterms:created>
  <dc:creator>User</dc:creator>
  <dc:description/>
  <dc:language>ru-RU</dc:language>
  <cp:lastModifiedBy/>
  <cp:lastPrinted>2023-09-05T10:01:00Z</cp:lastPrinted>
  <dcterms:modified xsi:type="dcterms:W3CDTF">2023-12-07T14:03:20Z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